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1C" w:rsidRPr="00B27932" w:rsidRDefault="0031351C" w:rsidP="0031351C">
      <w:pPr>
        <w:spacing w:after="200" w:line="480" w:lineRule="auto"/>
        <w:jc w:val="center"/>
        <w:rPr>
          <w:rFonts w:eastAsia="Calibri"/>
          <w:b/>
        </w:rPr>
      </w:pPr>
      <w:r>
        <w:rPr>
          <w:rFonts w:eastAsia="Calibri"/>
          <w:b/>
          <w:noProof/>
        </w:rPr>
        <mc:AlternateContent>
          <mc:Choice Requires="wps">
            <w:drawing>
              <wp:anchor distT="0" distB="0" distL="114300" distR="114300" simplePos="0" relativeHeight="251659264" behindDoc="0" locked="0" layoutInCell="1" allowOverlap="1">
                <wp:simplePos x="0" y="0"/>
                <wp:positionH relativeFrom="column">
                  <wp:posOffset>4922520</wp:posOffset>
                </wp:positionH>
                <wp:positionV relativeFrom="paragraph">
                  <wp:posOffset>-954405</wp:posOffset>
                </wp:positionV>
                <wp:extent cx="133350" cy="12382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825"/>
                        </a:xfrm>
                        <a:prstGeom prst="rect">
                          <a:avLst/>
                        </a:prstGeom>
                        <a:solidFill>
                          <a:srgbClr val="FFFFFF"/>
                        </a:solidFill>
                        <a:ln w="9525">
                          <a:solidFill>
                            <a:srgbClr val="FFFFFF"/>
                          </a:solidFill>
                          <a:miter lim="800000"/>
                          <a:headEnd/>
                          <a:tailEnd/>
                        </a:ln>
                      </wps:spPr>
                      <wps:txbx>
                        <w:txbxContent>
                          <w:p w:rsidR="0031351C" w:rsidRDefault="0031351C" w:rsidP="00313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6pt;margin-top:-75.1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" strokecolor="white">
                <v:textbox>
                  <w:txbxContent>
                    <w:p w:rsidR="0031351C" w:rsidRDefault="0031351C" w:rsidP="0031351C"/>
                  </w:txbxContent>
                </v:textbox>
              </v:shape>
            </w:pict>
          </mc:Fallback>
        </mc:AlternateContent>
      </w:r>
      <w:r w:rsidRPr="00B27932">
        <w:rPr>
          <w:rFonts w:eastAsia="Calibri"/>
          <w:b/>
        </w:rPr>
        <w:t>BAB I</w:t>
      </w:r>
    </w:p>
    <w:p w:rsidR="0031351C" w:rsidRPr="00B27932" w:rsidRDefault="0031351C" w:rsidP="0031351C">
      <w:pPr>
        <w:spacing w:after="200" w:line="480" w:lineRule="auto"/>
        <w:jc w:val="center"/>
        <w:rPr>
          <w:rFonts w:eastAsia="Calibri"/>
          <w:b/>
        </w:rPr>
      </w:pPr>
      <w:r w:rsidRPr="00B27932">
        <w:rPr>
          <w:rFonts w:eastAsia="Calibri"/>
          <w:b/>
        </w:rPr>
        <w:t>PENDAHULUAN</w:t>
      </w:r>
    </w:p>
    <w:p w:rsidR="0031351C" w:rsidRPr="00B27932" w:rsidRDefault="0031351C" w:rsidP="0031351C">
      <w:pPr>
        <w:numPr>
          <w:ilvl w:val="0"/>
          <w:numId w:val="4"/>
        </w:numPr>
        <w:spacing w:after="200" w:line="480" w:lineRule="auto"/>
        <w:ind w:left="540" w:hanging="540"/>
        <w:contextualSpacing/>
        <w:jc w:val="both"/>
        <w:rPr>
          <w:rFonts w:eastAsia="Calibri"/>
          <w:b/>
        </w:rPr>
      </w:pPr>
      <w:r w:rsidRPr="00B27932">
        <w:rPr>
          <w:rFonts w:eastAsia="Calibri"/>
          <w:b/>
        </w:rPr>
        <w:t>Latar Belakang</w:t>
      </w:r>
    </w:p>
    <w:p w:rsidR="0031351C" w:rsidRPr="00B27932" w:rsidRDefault="0031351C" w:rsidP="0031351C">
      <w:pPr>
        <w:autoSpaceDE w:val="0"/>
        <w:autoSpaceDN w:val="0"/>
        <w:adjustRightInd w:val="0"/>
        <w:spacing w:line="480" w:lineRule="auto"/>
        <w:ind w:firstLine="540"/>
        <w:jc w:val="both"/>
        <w:rPr>
          <w:rFonts w:eastAsia="Calibri"/>
        </w:rPr>
      </w:pPr>
      <w:r w:rsidRPr="00B27932">
        <w:rPr>
          <w:rFonts w:eastAsia="Calibri"/>
        </w:rPr>
        <w:t>Pada hakekatnya perpajakan di Indonesia di tetapkan berdasarkan undang-undang, hal ini merupakan pencerminan bagian dari pelaksanaan tonggak demokrasi dalam hidup berbangsa dan bernegara. Dalam hubungan ini merupakan suatu realita negara yang merdeka dan berdaulat. Sesuai perjalanan sejarah perpajakan nasional di Indonesia, tak dapat dipungkiri bahwa dalam penyusunan kerangka acuan perubahan undang-undang dan peraturan perpajakan sebagian besar bersumber dari sistem perpajakan warisan kolonial penjajah, terutama ketika negara Republik Indonesia baru terbentuk. Dalam beberapa dekade terakhir ini perubahan tersebut telah banyak mengalami perubahan yang bersumber dari sistem perpajakan negara lain.</w:t>
      </w:r>
    </w:p>
    <w:p w:rsidR="0031351C" w:rsidRPr="00B27932" w:rsidRDefault="0031351C" w:rsidP="0031351C">
      <w:pPr>
        <w:autoSpaceDE w:val="0"/>
        <w:autoSpaceDN w:val="0"/>
        <w:adjustRightInd w:val="0"/>
        <w:spacing w:line="480" w:lineRule="auto"/>
        <w:ind w:firstLine="540"/>
        <w:jc w:val="both"/>
        <w:rPr>
          <w:rFonts w:eastAsia="Calibri"/>
        </w:rPr>
      </w:pPr>
      <w:r w:rsidRPr="00B27932">
        <w:rPr>
          <w:rFonts w:eastAsia="Calibri"/>
        </w:rPr>
        <w:t>Pajak merupakan fenomena umum sebagai sumber penerimaan Negara yang berlaku di berbagai negara. Tiap negara membuat aturan dan dalam mengenakkan dan memungut pajak di negaranya. Bagi Indonesia, penerimaan pajak sangat besar perannya dalam mengamankan anggaran negara dalam APBN setiap tahun.</w:t>
      </w:r>
    </w:p>
    <w:p w:rsidR="0031351C" w:rsidRPr="00B27932" w:rsidRDefault="0031351C" w:rsidP="0031351C">
      <w:pPr>
        <w:autoSpaceDE w:val="0"/>
        <w:autoSpaceDN w:val="0"/>
        <w:adjustRightInd w:val="0"/>
        <w:spacing w:line="480" w:lineRule="auto"/>
        <w:ind w:firstLine="540"/>
        <w:jc w:val="both"/>
        <w:rPr>
          <w:rFonts w:eastAsia="Calibri"/>
        </w:rPr>
      </w:pPr>
      <w:r w:rsidRPr="00B27932">
        <w:rPr>
          <w:rFonts w:eastAsia="Calibri"/>
        </w:rPr>
        <w:t>Perencanaan pajak (</w:t>
      </w:r>
      <w:r w:rsidRPr="00B27932">
        <w:rPr>
          <w:rFonts w:eastAsia="Calibri"/>
          <w:i/>
        </w:rPr>
        <w:t>tax planning</w:t>
      </w:r>
      <w:r w:rsidRPr="00B27932">
        <w:rPr>
          <w:rFonts w:eastAsia="Calibri"/>
        </w:rPr>
        <w:t>) adalah bagian dari fungsi manajemen pajak yang merupakan suatu proses pengumpulan dan penelitian terhadap peraturan perpajakan dengan maksud dapat diseleksi jenis tindakan dan penghematan pajak yang akan dilakukan. Perencanaan pajak (</w:t>
      </w:r>
      <w:r w:rsidRPr="00B27932">
        <w:rPr>
          <w:rFonts w:eastAsia="Calibri"/>
          <w:i/>
        </w:rPr>
        <w:t>tax planning</w:t>
      </w:r>
      <w:r w:rsidRPr="00B27932">
        <w:rPr>
          <w:rFonts w:eastAsia="Calibri"/>
        </w:rPr>
        <w:t>) merupakan upaya legal yang tujuannya untuk menempatkan paajak pada porsi yang seharusnya agar beban pajak yang dibayar oleh wajib pajak dapat lebih efisien.</w:t>
      </w:r>
    </w:p>
    <w:p w:rsidR="0031351C" w:rsidRPr="00B27932" w:rsidRDefault="0031351C" w:rsidP="0031351C">
      <w:pPr>
        <w:autoSpaceDE w:val="0"/>
        <w:autoSpaceDN w:val="0"/>
        <w:adjustRightInd w:val="0"/>
        <w:spacing w:line="480" w:lineRule="auto"/>
        <w:ind w:firstLine="540"/>
        <w:jc w:val="both"/>
        <w:rPr>
          <w:rFonts w:eastAsia="Calibri"/>
          <w:color w:val="000000"/>
        </w:rPr>
      </w:pPr>
      <w:r w:rsidRPr="00B27932">
        <w:rPr>
          <w:rFonts w:eastAsia="Calibri"/>
          <w:color w:val="000000"/>
        </w:rPr>
        <w:t>Perencanaan pajak (</w:t>
      </w:r>
      <w:r w:rsidRPr="00B27932">
        <w:rPr>
          <w:rFonts w:eastAsia="Calibri"/>
          <w:i/>
          <w:iCs/>
          <w:color w:val="000000"/>
        </w:rPr>
        <w:t>tax planning</w:t>
      </w:r>
      <w:r w:rsidRPr="00B27932">
        <w:rPr>
          <w:rFonts w:eastAsia="Calibri"/>
          <w:color w:val="000000"/>
        </w:rPr>
        <w:t xml:space="preserve">) menekankan pada pengendalian setiap transaksi yang memiliki konsekuensi pajak. Kondisi tersebut bertujuan untuk mengendalikan jumlah pajak </w:t>
      </w:r>
      <w:r w:rsidRPr="00B27932">
        <w:rPr>
          <w:rFonts w:eastAsia="Calibri"/>
          <w:color w:val="000000"/>
        </w:rPr>
        <w:lastRenderedPageBreak/>
        <w:t>sehingga mencapai angka minimum, yang dapat berupa penghematan pajak (</w:t>
      </w:r>
      <w:r w:rsidRPr="00B27932">
        <w:rPr>
          <w:rFonts w:eastAsia="Calibri"/>
          <w:i/>
          <w:iCs/>
          <w:color w:val="000000"/>
        </w:rPr>
        <w:t>tax saving</w:t>
      </w:r>
      <w:r w:rsidRPr="00B27932">
        <w:rPr>
          <w:rFonts w:eastAsia="Calibri"/>
          <w:color w:val="000000"/>
        </w:rPr>
        <w:t>), penghindaran pajak (</w:t>
      </w:r>
      <w:r w:rsidRPr="00B27932">
        <w:rPr>
          <w:rFonts w:eastAsia="Calibri"/>
          <w:i/>
          <w:iCs/>
          <w:color w:val="000000"/>
        </w:rPr>
        <w:t>tax avoidance</w:t>
      </w:r>
      <w:r w:rsidRPr="00B27932">
        <w:rPr>
          <w:rFonts w:eastAsia="Calibri"/>
          <w:color w:val="000000"/>
        </w:rPr>
        <w:t>) ataupun penyelundupan pajak (</w:t>
      </w:r>
      <w:r w:rsidRPr="00B27932">
        <w:rPr>
          <w:rFonts w:eastAsia="Calibri"/>
          <w:i/>
          <w:iCs/>
          <w:color w:val="000000"/>
        </w:rPr>
        <w:t>tax evasion</w:t>
      </w:r>
      <w:r w:rsidRPr="00B27932">
        <w:rPr>
          <w:rFonts w:eastAsia="Calibri"/>
          <w:color w:val="000000"/>
        </w:rPr>
        <w:t xml:space="preserve">). </w:t>
      </w:r>
    </w:p>
    <w:p w:rsidR="0031351C" w:rsidRPr="00B27932" w:rsidRDefault="0031351C" w:rsidP="0031351C">
      <w:pPr>
        <w:autoSpaceDE w:val="0"/>
        <w:autoSpaceDN w:val="0"/>
        <w:adjustRightInd w:val="0"/>
        <w:spacing w:line="480" w:lineRule="auto"/>
        <w:ind w:firstLine="540"/>
        <w:jc w:val="both"/>
        <w:rPr>
          <w:rFonts w:eastAsia="Calibri"/>
          <w:color w:val="000000"/>
        </w:rPr>
      </w:pPr>
      <w:r w:rsidRPr="00B27932">
        <w:rPr>
          <w:rFonts w:eastAsia="Calibri"/>
          <w:color w:val="000000"/>
        </w:rPr>
        <w:t xml:space="preserve">Undang-Undang Nomor 7 Tahun 1983 tentang Pajak Penghasilan sebagaimana telah beberapa kali diubah terakhir dengan Undang-Undang Nomor 36 tahun 2008 tentang Perubahan Keempat atas Undang-Undang Nomor 7 Tahun 1983 tentang Pajak Penghasilan yang selanjutnya dalam penelitian ini disebut dengan Undang-Undang PPh 1984, dijelaskan mengenai jenis-jenis penghasilan yang dapat dikenai pajak bersifat final dalam pasal 4 ayat (2), pasal 4 ayat (3) mengenai jenis-jenis penghasilan yang dikecualikan dari objek pajak, 4 </w:t>
      </w:r>
      <w:r w:rsidRPr="00B27932">
        <w:rPr>
          <w:rFonts w:eastAsia="Calibri"/>
        </w:rPr>
        <w:t>an pasal 6 ayat (1) mengenai beban-beban yang dapat dikurangkan (</w:t>
      </w:r>
      <w:r w:rsidRPr="00B27932">
        <w:rPr>
          <w:rFonts w:eastAsia="Calibri"/>
          <w:i/>
          <w:iCs/>
        </w:rPr>
        <w:t>deductible expense</w:t>
      </w:r>
      <w:r w:rsidRPr="00B27932">
        <w:rPr>
          <w:rFonts w:eastAsia="Calibri"/>
        </w:rPr>
        <w:t>), serta pasal 9 ayat (1) mengenai biaya-biaya yang tidak dapat dikurangkan.</w:t>
      </w:r>
    </w:p>
    <w:p w:rsidR="0031351C" w:rsidRPr="00B27932" w:rsidRDefault="0031351C" w:rsidP="0031351C">
      <w:pPr>
        <w:autoSpaceDE w:val="0"/>
        <w:autoSpaceDN w:val="0"/>
        <w:adjustRightInd w:val="0"/>
        <w:spacing w:line="480" w:lineRule="auto"/>
        <w:ind w:firstLine="540"/>
        <w:jc w:val="both"/>
        <w:rPr>
          <w:rFonts w:eastAsia="Calibri"/>
        </w:rPr>
      </w:pPr>
      <w:r w:rsidRPr="00B27932">
        <w:rPr>
          <w:rFonts w:eastAsia="Calibri"/>
        </w:rPr>
        <w:t xml:space="preserve">Penerapan </w:t>
      </w:r>
      <w:r w:rsidRPr="00B27932">
        <w:rPr>
          <w:rFonts w:eastAsia="Calibri"/>
          <w:i/>
          <w:iCs/>
        </w:rPr>
        <w:t xml:space="preserve">tax planning </w:t>
      </w:r>
      <w:r w:rsidRPr="00B27932">
        <w:rPr>
          <w:rFonts w:eastAsia="Calibri"/>
        </w:rPr>
        <w:t xml:space="preserve">dalam suatu perusahaaan dapat dilakukan dengan mencari peluang penghindaran pajak dengan cara memaksimalkan penghasilan yang bukan merupakan objek pajak penghasilan, meningkatkan biaya-biaya yang merupakan </w:t>
      </w:r>
      <w:r w:rsidRPr="00B27932">
        <w:rPr>
          <w:rFonts w:eastAsia="Calibri"/>
          <w:i/>
          <w:iCs/>
        </w:rPr>
        <w:t xml:space="preserve">deductible expense, </w:t>
      </w:r>
      <w:r w:rsidRPr="00B27932">
        <w:rPr>
          <w:rFonts w:eastAsia="Calibri"/>
        </w:rPr>
        <w:t>seperti pemberian tunjangan dalam bentuk uang, pemaksimalan biaya fiskal seperti biaya pendidikan karyawan dan lain sebagainya yang pada akhirnya menghasilkan PPh terutang dalam jumlah yang lebih kecil.</w:t>
      </w:r>
    </w:p>
    <w:p w:rsidR="0031351C" w:rsidRDefault="0031351C" w:rsidP="0031351C">
      <w:pPr>
        <w:autoSpaceDE w:val="0"/>
        <w:autoSpaceDN w:val="0"/>
        <w:adjustRightInd w:val="0"/>
        <w:spacing w:line="480" w:lineRule="auto"/>
        <w:ind w:firstLine="540"/>
        <w:jc w:val="both"/>
        <w:rPr>
          <w:rFonts w:eastAsia="Calibri"/>
        </w:rPr>
      </w:pPr>
      <w:r w:rsidRPr="00B27932">
        <w:rPr>
          <w:rFonts w:eastAsia="Calibri"/>
        </w:rPr>
        <w:t>Berikut ini disajikan data presentase beban pajak terhadap laba PT. Semen Tonasa tahun 2010-2014.</w:t>
      </w:r>
    </w:p>
    <w:p w:rsidR="0031351C" w:rsidRPr="00B27932" w:rsidRDefault="0031351C" w:rsidP="0031351C">
      <w:pPr>
        <w:autoSpaceDE w:val="0"/>
        <w:autoSpaceDN w:val="0"/>
        <w:adjustRightInd w:val="0"/>
        <w:spacing w:line="480" w:lineRule="auto"/>
        <w:ind w:firstLine="540"/>
        <w:jc w:val="both"/>
        <w:rPr>
          <w:rFonts w:eastAsia="Calibri"/>
        </w:rPr>
      </w:pPr>
    </w:p>
    <w:p w:rsidR="0031351C" w:rsidRPr="00B27932" w:rsidRDefault="0031351C" w:rsidP="0031351C">
      <w:pPr>
        <w:autoSpaceDE w:val="0"/>
        <w:autoSpaceDN w:val="0"/>
        <w:adjustRightInd w:val="0"/>
        <w:ind w:left="990" w:hanging="990"/>
        <w:jc w:val="both"/>
        <w:rPr>
          <w:rFonts w:eastAsia="Calibri"/>
          <w:b/>
        </w:rPr>
      </w:pPr>
      <w:r w:rsidRPr="00B27932">
        <w:rPr>
          <w:rFonts w:eastAsia="Calibri"/>
          <w:b/>
        </w:rPr>
        <w:t>Tabel 1. Data Persentase</w:t>
      </w:r>
      <w:r w:rsidRPr="00B27932">
        <w:rPr>
          <w:rFonts w:eastAsia="Calibri"/>
          <w:b/>
          <w:lang w:val="id-ID"/>
        </w:rPr>
        <w:t xml:space="preserve"> Pajak</w:t>
      </w:r>
      <w:r w:rsidRPr="00B27932">
        <w:rPr>
          <w:rFonts w:eastAsia="Calibri"/>
          <w:b/>
        </w:rPr>
        <w:t xml:space="preserve"> Terhadap Laba Pada PT. Semen Tonasa Tahun 2010-2014 (dalam ribuan rupiah)</w:t>
      </w:r>
    </w:p>
    <w:tbl>
      <w:tblPr>
        <w:tblW w:w="8205" w:type="dxa"/>
        <w:tblInd w:w="93" w:type="dxa"/>
        <w:tblLook w:val="04A0" w:firstRow="1" w:lastRow="0" w:firstColumn="1" w:lastColumn="0" w:noHBand="0" w:noVBand="1"/>
      </w:tblPr>
      <w:tblGrid>
        <w:gridCol w:w="915"/>
        <w:gridCol w:w="2074"/>
        <w:gridCol w:w="1457"/>
        <w:gridCol w:w="2257"/>
        <w:gridCol w:w="1502"/>
      </w:tblGrid>
      <w:tr w:rsidR="0031351C" w:rsidRPr="00B27932" w:rsidTr="0039743D">
        <w:trPr>
          <w:trHeight w:val="315"/>
        </w:trPr>
        <w:tc>
          <w:tcPr>
            <w:tcW w:w="915" w:type="dxa"/>
            <w:vMerge w:val="restart"/>
            <w:tcBorders>
              <w:top w:val="single" w:sz="12" w:space="0" w:color="auto"/>
              <w:left w:val="nil"/>
              <w:bottom w:val="single" w:sz="12" w:space="0" w:color="000000"/>
              <w:right w:val="nil"/>
            </w:tcBorders>
            <w:shd w:val="clear" w:color="auto" w:fill="auto"/>
            <w:noWrap/>
            <w:vAlign w:val="center"/>
            <w:hideMark/>
          </w:tcPr>
          <w:p w:rsidR="0031351C" w:rsidRPr="00B27932" w:rsidRDefault="0031351C" w:rsidP="0039743D">
            <w:pPr>
              <w:jc w:val="center"/>
              <w:rPr>
                <w:color w:val="000000"/>
              </w:rPr>
            </w:pPr>
            <w:r w:rsidRPr="00B27932">
              <w:rPr>
                <w:color w:val="000000"/>
              </w:rPr>
              <w:t xml:space="preserve">Tahun </w:t>
            </w:r>
          </w:p>
        </w:tc>
        <w:tc>
          <w:tcPr>
            <w:tcW w:w="2074" w:type="dxa"/>
            <w:vMerge w:val="restart"/>
            <w:tcBorders>
              <w:top w:val="single" w:sz="12" w:space="0" w:color="auto"/>
              <w:left w:val="nil"/>
              <w:bottom w:val="single" w:sz="12" w:space="0" w:color="000000"/>
              <w:right w:val="nil"/>
            </w:tcBorders>
            <w:shd w:val="clear" w:color="auto" w:fill="auto"/>
            <w:noWrap/>
            <w:vAlign w:val="center"/>
            <w:hideMark/>
          </w:tcPr>
          <w:p w:rsidR="0031351C" w:rsidRPr="00B27932" w:rsidRDefault="0031351C" w:rsidP="0039743D">
            <w:pPr>
              <w:jc w:val="center"/>
              <w:rPr>
                <w:color w:val="000000"/>
              </w:rPr>
            </w:pPr>
            <w:r w:rsidRPr="00B27932">
              <w:rPr>
                <w:color w:val="000000"/>
              </w:rPr>
              <w:t>Laba Sebelum Pajak (Rp)</w:t>
            </w:r>
          </w:p>
        </w:tc>
        <w:tc>
          <w:tcPr>
            <w:tcW w:w="1457" w:type="dxa"/>
            <w:vMerge w:val="restart"/>
            <w:tcBorders>
              <w:top w:val="single" w:sz="12" w:space="0" w:color="auto"/>
              <w:left w:val="nil"/>
              <w:bottom w:val="single" w:sz="12" w:space="0" w:color="000000"/>
              <w:right w:val="nil"/>
            </w:tcBorders>
            <w:shd w:val="clear" w:color="auto" w:fill="auto"/>
            <w:noWrap/>
            <w:vAlign w:val="center"/>
            <w:hideMark/>
          </w:tcPr>
          <w:p w:rsidR="0031351C" w:rsidRPr="00B27932" w:rsidRDefault="0031351C" w:rsidP="0039743D">
            <w:pPr>
              <w:jc w:val="center"/>
              <w:rPr>
                <w:color w:val="000000"/>
              </w:rPr>
            </w:pPr>
            <w:r w:rsidRPr="00B27932">
              <w:rPr>
                <w:color w:val="000000"/>
              </w:rPr>
              <w:t>Beban Pajak (Rp)</w:t>
            </w:r>
          </w:p>
        </w:tc>
        <w:tc>
          <w:tcPr>
            <w:tcW w:w="2257" w:type="dxa"/>
            <w:tcBorders>
              <w:top w:val="single" w:sz="12" w:space="0" w:color="auto"/>
              <w:left w:val="nil"/>
              <w:bottom w:val="nil"/>
              <w:right w:val="nil"/>
            </w:tcBorders>
            <w:shd w:val="clear" w:color="auto" w:fill="auto"/>
            <w:noWrap/>
            <w:hideMark/>
          </w:tcPr>
          <w:p w:rsidR="0031351C" w:rsidRPr="00B27932" w:rsidRDefault="0031351C" w:rsidP="0039743D">
            <w:pPr>
              <w:jc w:val="center"/>
              <w:rPr>
                <w:color w:val="000000"/>
              </w:rPr>
            </w:pPr>
            <w:r w:rsidRPr="00B27932">
              <w:rPr>
                <w:color w:val="000000"/>
              </w:rPr>
              <w:t>Persentase Pajak</w:t>
            </w:r>
          </w:p>
        </w:tc>
        <w:tc>
          <w:tcPr>
            <w:tcW w:w="1502" w:type="dxa"/>
            <w:vMerge w:val="restart"/>
            <w:tcBorders>
              <w:top w:val="single" w:sz="12" w:space="0" w:color="auto"/>
              <w:left w:val="nil"/>
              <w:bottom w:val="single" w:sz="12" w:space="0" w:color="000000"/>
              <w:right w:val="nil"/>
            </w:tcBorders>
            <w:shd w:val="clear" w:color="auto" w:fill="auto"/>
            <w:noWrap/>
            <w:vAlign w:val="center"/>
            <w:hideMark/>
          </w:tcPr>
          <w:p w:rsidR="0031351C" w:rsidRPr="00B27932" w:rsidRDefault="0031351C" w:rsidP="0039743D">
            <w:pPr>
              <w:jc w:val="center"/>
              <w:rPr>
                <w:color w:val="000000"/>
              </w:rPr>
            </w:pPr>
            <w:r w:rsidRPr="00B27932">
              <w:rPr>
                <w:color w:val="000000"/>
              </w:rPr>
              <w:t>Laba Bersih (Rp)</w:t>
            </w:r>
          </w:p>
        </w:tc>
      </w:tr>
      <w:tr w:rsidR="0031351C" w:rsidRPr="00B27932" w:rsidTr="0039743D">
        <w:trPr>
          <w:trHeight w:val="315"/>
        </w:trPr>
        <w:tc>
          <w:tcPr>
            <w:tcW w:w="915" w:type="dxa"/>
            <w:vMerge/>
            <w:tcBorders>
              <w:top w:val="single" w:sz="12" w:space="0" w:color="auto"/>
              <w:left w:val="nil"/>
              <w:bottom w:val="single" w:sz="12" w:space="0" w:color="000000"/>
              <w:right w:val="nil"/>
            </w:tcBorders>
            <w:vAlign w:val="center"/>
            <w:hideMark/>
          </w:tcPr>
          <w:p w:rsidR="0031351C" w:rsidRPr="00B27932" w:rsidRDefault="0031351C" w:rsidP="0039743D">
            <w:pPr>
              <w:rPr>
                <w:color w:val="000000"/>
              </w:rPr>
            </w:pPr>
          </w:p>
        </w:tc>
        <w:tc>
          <w:tcPr>
            <w:tcW w:w="2074" w:type="dxa"/>
            <w:vMerge/>
            <w:tcBorders>
              <w:top w:val="single" w:sz="12" w:space="0" w:color="auto"/>
              <w:left w:val="nil"/>
              <w:bottom w:val="single" w:sz="12" w:space="0" w:color="000000"/>
              <w:right w:val="nil"/>
            </w:tcBorders>
            <w:vAlign w:val="center"/>
            <w:hideMark/>
          </w:tcPr>
          <w:p w:rsidR="0031351C" w:rsidRPr="00B27932" w:rsidRDefault="0031351C" w:rsidP="0039743D">
            <w:pPr>
              <w:rPr>
                <w:color w:val="000000"/>
              </w:rPr>
            </w:pPr>
          </w:p>
        </w:tc>
        <w:tc>
          <w:tcPr>
            <w:tcW w:w="1457" w:type="dxa"/>
            <w:vMerge/>
            <w:tcBorders>
              <w:top w:val="single" w:sz="12" w:space="0" w:color="auto"/>
              <w:left w:val="nil"/>
              <w:bottom w:val="single" w:sz="12" w:space="0" w:color="000000"/>
              <w:right w:val="nil"/>
            </w:tcBorders>
            <w:vAlign w:val="center"/>
            <w:hideMark/>
          </w:tcPr>
          <w:p w:rsidR="0031351C" w:rsidRPr="00B27932" w:rsidRDefault="0031351C" w:rsidP="0039743D">
            <w:pPr>
              <w:rPr>
                <w:color w:val="000000"/>
              </w:rPr>
            </w:pPr>
          </w:p>
        </w:tc>
        <w:tc>
          <w:tcPr>
            <w:tcW w:w="2257" w:type="dxa"/>
            <w:tcBorders>
              <w:top w:val="nil"/>
              <w:left w:val="nil"/>
              <w:bottom w:val="single" w:sz="12" w:space="0" w:color="auto"/>
              <w:right w:val="nil"/>
            </w:tcBorders>
            <w:shd w:val="clear" w:color="auto" w:fill="auto"/>
            <w:noWrap/>
            <w:hideMark/>
          </w:tcPr>
          <w:p w:rsidR="0031351C" w:rsidRPr="00B27932" w:rsidRDefault="0031351C" w:rsidP="0039743D">
            <w:pPr>
              <w:jc w:val="center"/>
              <w:rPr>
                <w:color w:val="000000"/>
              </w:rPr>
            </w:pPr>
            <w:r w:rsidRPr="00B27932">
              <w:rPr>
                <w:color w:val="000000"/>
              </w:rPr>
              <w:t>Terhadap Laba (%)</w:t>
            </w:r>
          </w:p>
        </w:tc>
        <w:tc>
          <w:tcPr>
            <w:tcW w:w="1502" w:type="dxa"/>
            <w:vMerge/>
            <w:tcBorders>
              <w:top w:val="single" w:sz="12" w:space="0" w:color="auto"/>
              <w:left w:val="nil"/>
              <w:bottom w:val="single" w:sz="12" w:space="0" w:color="000000"/>
              <w:right w:val="nil"/>
            </w:tcBorders>
            <w:vAlign w:val="center"/>
            <w:hideMark/>
          </w:tcPr>
          <w:p w:rsidR="0031351C" w:rsidRPr="00B27932" w:rsidRDefault="0031351C" w:rsidP="0039743D">
            <w:pPr>
              <w:rPr>
                <w:color w:val="000000"/>
              </w:rPr>
            </w:pPr>
          </w:p>
        </w:tc>
      </w:tr>
      <w:tr w:rsidR="0031351C" w:rsidRPr="00B27932" w:rsidTr="0039743D">
        <w:trPr>
          <w:trHeight w:val="315"/>
        </w:trPr>
        <w:tc>
          <w:tcPr>
            <w:tcW w:w="915"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2010</w:t>
            </w:r>
          </w:p>
        </w:tc>
        <w:tc>
          <w:tcPr>
            <w:tcW w:w="2074"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738,266,209</w:t>
            </w:r>
          </w:p>
        </w:tc>
        <w:tc>
          <w:tcPr>
            <w:tcW w:w="1457" w:type="dxa"/>
            <w:tcBorders>
              <w:top w:val="nil"/>
              <w:left w:val="nil"/>
              <w:bottom w:val="nil"/>
              <w:right w:val="nil"/>
            </w:tcBorders>
            <w:shd w:val="clear" w:color="auto" w:fill="auto"/>
            <w:noWrap/>
            <w:vAlign w:val="bottom"/>
            <w:hideMark/>
          </w:tcPr>
          <w:p w:rsidR="0031351C" w:rsidRPr="00B27932" w:rsidRDefault="0031351C" w:rsidP="0039743D">
            <w:pPr>
              <w:jc w:val="center"/>
            </w:pPr>
            <w:r w:rsidRPr="00B27932">
              <w:t>194,679,087</w:t>
            </w:r>
          </w:p>
        </w:tc>
        <w:tc>
          <w:tcPr>
            <w:tcW w:w="2257"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26,4</w:t>
            </w:r>
          </w:p>
        </w:tc>
        <w:tc>
          <w:tcPr>
            <w:tcW w:w="1502"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 xml:space="preserve">              543,587,122 </w:t>
            </w:r>
          </w:p>
        </w:tc>
      </w:tr>
      <w:tr w:rsidR="0031351C" w:rsidRPr="00B27932" w:rsidTr="0039743D">
        <w:trPr>
          <w:trHeight w:val="300"/>
        </w:trPr>
        <w:tc>
          <w:tcPr>
            <w:tcW w:w="915"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2011</w:t>
            </w:r>
          </w:p>
        </w:tc>
        <w:tc>
          <w:tcPr>
            <w:tcW w:w="2074"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742,055,743</w:t>
            </w:r>
          </w:p>
        </w:tc>
        <w:tc>
          <w:tcPr>
            <w:tcW w:w="1457" w:type="dxa"/>
            <w:tcBorders>
              <w:top w:val="nil"/>
              <w:left w:val="nil"/>
              <w:bottom w:val="nil"/>
              <w:right w:val="nil"/>
            </w:tcBorders>
            <w:shd w:val="clear" w:color="auto" w:fill="auto"/>
            <w:noWrap/>
            <w:vAlign w:val="bottom"/>
            <w:hideMark/>
          </w:tcPr>
          <w:p w:rsidR="0031351C" w:rsidRPr="00B27932" w:rsidRDefault="0031351C" w:rsidP="0039743D">
            <w:pPr>
              <w:jc w:val="center"/>
            </w:pPr>
            <w:r w:rsidRPr="00B27932">
              <w:t>197,761,954</w:t>
            </w:r>
          </w:p>
        </w:tc>
        <w:tc>
          <w:tcPr>
            <w:tcW w:w="2257"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26,7</w:t>
            </w:r>
          </w:p>
        </w:tc>
        <w:tc>
          <w:tcPr>
            <w:tcW w:w="1502"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 xml:space="preserve">              544,293,789 </w:t>
            </w:r>
          </w:p>
        </w:tc>
      </w:tr>
      <w:tr w:rsidR="0031351C" w:rsidRPr="00B27932" w:rsidTr="0039743D">
        <w:trPr>
          <w:trHeight w:val="300"/>
        </w:trPr>
        <w:tc>
          <w:tcPr>
            <w:tcW w:w="915"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2012</w:t>
            </w:r>
          </w:p>
        </w:tc>
        <w:tc>
          <w:tcPr>
            <w:tcW w:w="2074"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880,730,551</w:t>
            </w:r>
          </w:p>
        </w:tc>
        <w:tc>
          <w:tcPr>
            <w:tcW w:w="1457" w:type="dxa"/>
            <w:tcBorders>
              <w:top w:val="nil"/>
              <w:left w:val="nil"/>
              <w:bottom w:val="nil"/>
              <w:right w:val="nil"/>
            </w:tcBorders>
            <w:shd w:val="clear" w:color="auto" w:fill="auto"/>
            <w:noWrap/>
            <w:vAlign w:val="bottom"/>
            <w:hideMark/>
          </w:tcPr>
          <w:p w:rsidR="0031351C" w:rsidRPr="00B27932" w:rsidRDefault="0031351C" w:rsidP="0039743D">
            <w:pPr>
              <w:jc w:val="center"/>
            </w:pPr>
            <w:r w:rsidRPr="00B27932">
              <w:t>238,575,734</w:t>
            </w:r>
          </w:p>
        </w:tc>
        <w:tc>
          <w:tcPr>
            <w:tcW w:w="2257"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27,1</w:t>
            </w:r>
          </w:p>
        </w:tc>
        <w:tc>
          <w:tcPr>
            <w:tcW w:w="1502"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 xml:space="preserve">              642,154,817 </w:t>
            </w:r>
          </w:p>
        </w:tc>
      </w:tr>
      <w:tr w:rsidR="0031351C" w:rsidRPr="00B27932" w:rsidTr="0039743D">
        <w:trPr>
          <w:trHeight w:val="300"/>
        </w:trPr>
        <w:tc>
          <w:tcPr>
            <w:tcW w:w="915"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2013</w:t>
            </w:r>
          </w:p>
        </w:tc>
        <w:tc>
          <w:tcPr>
            <w:tcW w:w="2074"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943,915,141</w:t>
            </w:r>
          </w:p>
        </w:tc>
        <w:tc>
          <w:tcPr>
            <w:tcW w:w="1457" w:type="dxa"/>
            <w:tcBorders>
              <w:top w:val="nil"/>
              <w:left w:val="nil"/>
              <w:bottom w:val="nil"/>
              <w:right w:val="nil"/>
            </w:tcBorders>
            <w:shd w:val="clear" w:color="auto" w:fill="auto"/>
            <w:noWrap/>
            <w:vAlign w:val="bottom"/>
            <w:hideMark/>
          </w:tcPr>
          <w:p w:rsidR="0031351C" w:rsidRPr="00B27932" w:rsidRDefault="0031351C" w:rsidP="0039743D">
            <w:pPr>
              <w:jc w:val="center"/>
            </w:pPr>
            <w:r w:rsidRPr="00B27932">
              <w:t>267,796,281</w:t>
            </w:r>
          </w:p>
        </w:tc>
        <w:tc>
          <w:tcPr>
            <w:tcW w:w="2257" w:type="dxa"/>
            <w:tcBorders>
              <w:top w:val="nil"/>
              <w:left w:val="nil"/>
              <w:bottom w:val="nil"/>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28,4</w:t>
            </w:r>
          </w:p>
        </w:tc>
        <w:tc>
          <w:tcPr>
            <w:tcW w:w="1502" w:type="dxa"/>
            <w:tcBorders>
              <w:top w:val="nil"/>
              <w:left w:val="nil"/>
              <w:bottom w:val="nil"/>
              <w:right w:val="nil"/>
            </w:tcBorders>
            <w:shd w:val="clear" w:color="auto" w:fill="auto"/>
            <w:noWrap/>
            <w:vAlign w:val="bottom"/>
            <w:hideMark/>
          </w:tcPr>
          <w:p w:rsidR="0031351C" w:rsidRPr="00B27932" w:rsidRDefault="0031351C" w:rsidP="0039743D">
            <w:pPr>
              <w:jc w:val="center"/>
              <w:rPr>
                <w:bCs/>
              </w:rPr>
            </w:pPr>
            <w:r w:rsidRPr="00B27932">
              <w:rPr>
                <w:bCs/>
              </w:rPr>
              <w:t xml:space="preserve">              676,118,860 </w:t>
            </w:r>
          </w:p>
        </w:tc>
      </w:tr>
      <w:tr w:rsidR="0031351C" w:rsidRPr="00B27932" w:rsidTr="0039743D">
        <w:trPr>
          <w:trHeight w:val="315"/>
        </w:trPr>
        <w:tc>
          <w:tcPr>
            <w:tcW w:w="915" w:type="dxa"/>
            <w:tcBorders>
              <w:top w:val="nil"/>
              <w:left w:val="nil"/>
              <w:bottom w:val="single" w:sz="12" w:space="0" w:color="auto"/>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2014</w:t>
            </w:r>
          </w:p>
        </w:tc>
        <w:tc>
          <w:tcPr>
            <w:tcW w:w="2074" w:type="dxa"/>
            <w:tcBorders>
              <w:top w:val="nil"/>
              <w:left w:val="nil"/>
              <w:bottom w:val="single" w:sz="12" w:space="0" w:color="auto"/>
              <w:right w:val="nil"/>
            </w:tcBorders>
            <w:shd w:val="clear" w:color="auto" w:fill="auto"/>
            <w:noWrap/>
            <w:vAlign w:val="bottom"/>
            <w:hideMark/>
          </w:tcPr>
          <w:p w:rsidR="0031351C" w:rsidRPr="00B27932" w:rsidRDefault="0031351C" w:rsidP="0039743D">
            <w:pPr>
              <w:jc w:val="center"/>
              <w:rPr>
                <w:bCs/>
              </w:rPr>
            </w:pPr>
            <w:r w:rsidRPr="00B27932">
              <w:rPr>
                <w:bCs/>
              </w:rPr>
              <w:t>975,622,296</w:t>
            </w:r>
          </w:p>
        </w:tc>
        <w:tc>
          <w:tcPr>
            <w:tcW w:w="1457" w:type="dxa"/>
            <w:tcBorders>
              <w:top w:val="nil"/>
              <w:left w:val="nil"/>
              <w:bottom w:val="single" w:sz="12" w:space="0" w:color="auto"/>
              <w:right w:val="nil"/>
            </w:tcBorders>
            <w:shd w:val="clear" w:color="auto" w:fill="auto"/>
            <w:noWrap/>
            <w:vAlign w:val="bottom"/>
            <w:hideMark/>
          </w:tcPr>
          <w:p w:rsidR="0031351C" w:rsidRPr="00B27932" w:rsidRDefault="0031351C" w:rsidP="0039743D">
            <w:pPr>
              <w:jc w:val="center"/>
            </w:pPr>
            <w:r w:rsidRPr="00B27932">
              <w:t>262,099,697</w:t>
            </w:r>
          </w:p>
        </w:tc>
        <w:tc>
          <w:tcPr>
            <w:tcW w:w="2257" w:type="dxa"/>
            <w:tcBorders>
              <w:top w:val="nil"/>
              <w:left w:val="nil"/>
              <w:bottom w:val="single" w:sz="12" w:space="0" w:color="auto"/>
              <w:right w:val="nil"/>
            </w:tcBorders>
            <w:shd w:val="clear" w:color="auto" w:fill="auto"/>
            <w:noWrap/>
            <w:vAlign w:val="bottom"/>
            <w:hideMark/>
          </w:tcPr>
          <w:p w:rsidR="0031351C" w:rsidRPr="00B27932" w:rsidRDefault="0031351C" w:rsidP="0039743D">
            <w:pPr>
              <w:jc w:val="center"/>
              <w:rPr>
                <w:color w:val="000000"/>
              </w:rPr>
            </w:pPr>
            <w:r w:rsidRPr="00B27932">
              <w:rPr>
                <w:color w:val="000000"/>
              </w:rPr>
              <w:t>26,9</w:t>
            </w:r>
          </w:p>
        </w:tc>
        <w:tc>
          <w:tcPr>
            <w:tcW w:w="1502" w:type="dxa"/>
            <w:tcBorders>
              <w:top w:val="nil"/>
              <w:left w:val="nil"/>
              <w:bottom w:val="single" w:sz="12" w:space="0" w:color="auto"/>
              <w:right w:val="nil"/>
            </w:tcBorders>
            <w:shd w:val="clear" w:color="auto" w:fill="auto"/>
            <w:noWrap/>
            <w:vAlign w:val="bottom"/>
            <w:hideMark/>
          </w:tcPr>
          <w:p w:rsidR="0031351C" w:rsidRPr="00B27932" w:rsidRDefault="0031351C" w:rsidP="0039743D">
            <w:pPr>
              <w:jc w:val="center"/>
              <w:rPr>
                <w:bCs/>
              </w:rPr>
            </w:pPr>
            <w:r w:rsidRPr="00B27932">
              <w:rPr>
                <w:bCs/>
              </w:rPr>
              <w:t xml:space="preserve">              713,522,599 </w:t>
            </w:r>
          </w:p>
        </w:tc>
      </w:tr>
    </w:tbl>
    <w:p w:rsidR="0031351C" w:rsidRPr="00B27932" w:rsidRDefault="0031351C" w:rsidP="0031351C">
      <w:pPr>
        <w:spacing w:after="200" w:line="480" w:lineRule="auto"/>
        <w:rPr>
          <w:rFonts w:eastAsia="Calibri"/>
          <w:i/>
        </w:rPr>
      </w:pPr>
      <w:r w:rsidRPr="00B27932">
        <w:rPr>
          <w:rFonts w:eastAsia="Calibri"/>
          <w:i/>
        </w:rPr>
        <w:t>Sumber: PT. Semen Tonasa (data diolah) tahun 2016</w:t>
      </w:r>
    </w:p>
    <w:p w:rsidR="0031351C" w:rsidRPr="00B27932" w:rsidRDefault="0031351C" w:rsidP="0031351C">
      <w:pPr>
        <w:autoSpaceDE w:val="0"/>
        <w:autoSpaceDN w:val="0"/>
        <w:adjustRightInd w:val="0"/>
        <w:spacing w:line="480" w:lineRule="auto"/>
        <w:ind w:firstLine="540"/>
        <w:jc w:val="both"/>
        <w:rPr>
          <w:rFonts w:eastAsia="Calibri"/>
        </w:rPr>
      </w:pPr>
      <w:r w:rsidRPr="00B27932">
        <w:rPr>
          <w:rFonts w:eastAsia="Calibri"/>
        </w:rPr>
        <w:t xml:space="preserve">Berdasarkan data tabel 1 di atas, terlihat bahwa laba setelah pajak dari tahun 2010-2014 mengalami peningkatan. Peningkatan laba setelah pajak dari tahun 2010 ketahun 2011 sebesar 0.12 %, peningkatan laba setelah pajak dari tahun 2011 ke tahun 2012 sebesar 15.24 %, peningkatan laba setalah pajak dari tahun 2012 ke tahun 2013 5.02 % sebesar, sedangkan peningkatan laba dari tahun 2013 ke tahun 2014 adalah sebesar 5.24 %. Hal ini menunjukkan bahwa perusahaan memiliki kemampuan dalam menunaikan kewajiban pajak, akan tetapi sebelum dilakukannya </w:t>
      </w:r>
      <w:r w:rsidRPr="00B27932">
        <w:rPr>
          <w:rFonts w:eastAsia="Calibri"/>
          <w:i/>
        </w:rPr>
        <w:t xml:space="preserve">tax planning, </w:t>
      </w:r>
      <w:r w:rsidRPr="00B27932">
        <w:rPr>
          <w:rFonts w:eastAsia="Calibri"/>
        </w:rPr>
        <w:t>persentase pajak terhadap laba cukup signifikan besarannya, rata-rata sekitar 27%. Dengan persentase yang besar itu, maka biaya itu cukup besar mengurangi laba perusahaan yang akan digunakan dalam aktivitas hidup perusahaan.</w:t>
      </w:r>
    </w:p>
    <w:p w:rsidR="0031351C" w:rsidRDefault="0031351C" w:rsidP="0031351C">
      <w:pPr>
        <w:autoSpaceDE w:val="0"/>
        <w:autoSpaceDN w:val="0"/>
        <w:adjustRightInd w:val="0"/>
        <w:spacing w:line="480" w:lineRule="auto"/>
        <w:ind w:firstLine="540"/>
        <w:jc w:val="both"/>
        <w:rPr>
          <w:rFonts w:eastAsia="Calibri"/>
          <w:b/>
        </w:rPr>
      </w:pPr>
      <w:r w:rsidRPr="00B27932">
        <w:rPr>
          <w:rFonts w:eastAsia="Calibri"/>
        </w:rPr>
        <w:t>Berdasarkan uraian di atas maka peneliti tertarik untuk melakukan penelitian dengan judul “</w:t>
      </w:r>
      <w:r w:rsidRPr="00B27932">
        <w:rPr>
          <w:rFonts w:eastAsia="Calibri"/>
          <w:b/>
        </w:rPr>
        <w:t>Analisis Perencanaan Pajak (</w:t>
      </w:r>
      <w:r w:rsidRPr="00B27932">
        <w:rPr>
          <w:rFonts w:eastAsia="Calibri"/>
          <w:b/>
          <w:i/>
        </w:rPr>
        <w:t>Tax Planning</w:t>
      </w:r>
      <w:r w:rsidRPr="00B27932">
        <w:rPr>
          <w:rFonts w:eastAsia="Calibri"/>
          <w:b/>
        </w:rPr>
        <w:t>) Untuk Meminimalkan Beban Pajak Penghasilan Pada PT. Semen Tonasa di Kabupaten Pangkep.</w:t>
      </w:r>
    </w:p>
    <w:p w:rsidR="0031351C" w:rsidRDefault="0031351C" w:rsidP="0031351C">
      <w:pPr>
        <w:autoSpaceDE w:val="0"/>
        <w:autoSpaceDN w:val="0"/>
        <w:adjustRightInd w:val="0"/>
        <w:spacing w:line="480" w:lineRule="auto"/>
        <w:ind w:firstLine="540"/>
        <w:jc w:val="both"/>
        <w:rPr>
          <w:rFonts w:eastAsia="Calibri"/>
          <w:b/>
        </w:rPr>
      </w:pPr>
    </w:p>
    <w:p w:rsidR="0031351C" w:rsidRPr="00B27932" w:rsidRDefault="0031351C" w:rsidP="0031351C">
      <w:pPr>
        <w:autoSpaceDE w:val="0"/>
        <w:autoSpaceDN w:val="0"/>
        <w:adjustRightInd w:val="0"/>
        <w:spacing w:line="480" w:lineRule="auto"/>
        <w:ind w:firstLine="540"/>
        <w:jc w:val="both"/>
        <w:rPr>
          <w:rFonts w:eastAsia="Calibri"/>
          <w:b/>
        </w:rPr>
      </w:pPr>
    </w:p>
    <w:p w:rsidR="0031351C" w:rsidRPr="00B27932" w:rsidRDefault="0031351C" w:rsidP="0031351C">
      <w:pPr>
        <w:numPr>
          <w:ilvl w:val="0"/>
          <w:numId w:val="4"/>
        </w:numPr>
        <w:autoSpaceDE w:val="0"/>
        <w:autoSpaceDN w:val="0"/>
        <w:adjustRightInd w:val="0"/>
        <w:spacing w:after="200" w:line="480" w:lineRule="auto"/>
        <w:ind w:left="540" w:hanging="540"/>
        <w:contextualSpacing/>
        <w:jc w:val="both"/>
        <w:rPr>
          <w:rFonts w:eastAsia="Calibri"/>
          <w:b/>
        </w:rPr>
      </w:pPr>
      <w:r w:rsidRPr="00B27932">
        <w:rPr>
          <w:rFonts w:eastAsia="Calibri"/>
          <w:b/>
        </w:rPr>
        <w:t>Rumusan Masalah</w:t>
      </w:r>
    </w:p>
    <w:p w:rsidR="0031351C" w:rsidRPr="00B27932" w:rsidRDefault="0031351C" w:rsidP="0031351C">
      <w:pPr>
        <w:autoSpaceDE w:val="0"/>
        <w:autoSpaceDN w:val="0"/>
        <w:adjustRightInd w:val="0"/>
        <w:spacing w:line="480" w:lineRule="auto"/>
        <w:ind w:firstLine="540"/>
        <w:jc w:val="both"/>
        <w:rPr>
          <w:rFonts w:eastAsia="Calibri"/>
        </w:rPr>
      </w:pPr>
      <w:r w:rsidRPr="00B27932">
        <w:rPr>
          <w:rFonts w:eastAsia="Calibri"/>
        </w:rPr>
        <w:t>Berdasarkan uraian latar belakang di atas, maka rumusan masalah dalam penelitian ini yaitu:</w:t>
      </w:r>
    </w:p>
    <w:p w:rsidR="0031351C" w:rsidRPr="00B27932" w:rsidRDefault="0031351C" w:rsidP="0031351C">
      <w:pPr>
        <w:numPr>
          <w:ilvl w:val="0"/>
          <w:numId w:val="1"/>
        </w:numPr>
        <w:autoSpaceDE w:val="0"/>
        <w:autoSpaceDN w:val="0"/>
        <w:adjustRightInd w:val="0"/>
        <w:spacing w:after="200" w:line="480" w:lineRule="auto"/>
        <w:ind w:left="900"/>
        <w:contextualSpacing/>
        <w:jc w:val="both"/>
        <w:rPr>
          <w:rFonts w:eastAsia="Calibri"/>
        </w:rPr>
      </w:pPr>
      <w:r w:rsidRPr="00B27932">
        <w:rPr>
          <w:rFonts w:eastAsia="Calibri"/>
        </w:rPr>
        <w:t>Bagaimana perencanaan pajak (</w:t>
      </w:r>
      <w:r w:rsidRPr="00B27932">
        <w:rPr>
          <w:rFonts w:eastAsia="Calibri"/>
          <w:i/>
        </w:rPr>
        <w:t>tax planning</w:t>
      </w:r>
      <w:r w:rsidRPr="00B27932">
        <w:rPr>
          <w:rFonts w:eastAsia="Calibri"/>
        </w:rPr>
        <w:t>) yang di terapkan oleh PT. Semen Tonasa untuk meminmalkan beban pajak penghasilan perusahaan?</w:t>
      </w:r>
    </w:p>
    <w:p w:rsidR="0031351C" w:rsidRPr="00B27932" w:rsidRDefault="0031351C" w:rsidP="0031351C">
      <w:pPr>
        <w:numPr>
          <w:ilvl w:val="0"/>
          <w:numId w:val="1"/>
        </w:numPr>
        <w:autoSpaceDE w:val="0"/>
        <w:autoSpaceDN w:val="0"/>
        <w:adjustRightInd w:val="0"/>
        <w:spacing w:after="200" w:line="480" w:lineRule="auto"/>
        <w:ind w:left="900"/>
        <w:contextualSpacing/>
        <w:jc w:val="both"/>
        <w:rPr>
          <w:rFonts w:eastAsia="Calibri"/>
        </w:rPr>
      </w:pPr>
      <w:r w:rsidRPr="00B27932">
        <w:rPr>
          <w:rFonts w:eastAsia="Calibri"/>
        </w:rPr>
        <w:t>Berapa besar penghematan pajak yang dihasilkan dari penerapan perencanaan pajak (</w:t>
      </w:r>
      <w:r w:rsidRPr="00B27932">
        <w:rPr>
          <w:rFonts w:eastAsia="Calibri"/>
          <w:i/>
        </w:rPr>
        <w:t>tax planning</w:t>
      </w:r>
      <w:r w:rsidRPr="00B27932">
        <w:rPr>
          <w:rFonts w:eastAsia="Calibri"/>
        </w:rPr>
        <w:t>) yang dilakukan oleh PT. Semen Tonasa?</w:t>
      </w:r>
    </w:p>
    <w:p w:rsidR="0031351C" w:rsidRPr="00B27932" w:rsidRDefault="0031351C" w:rsidP="0031351C">
      <w:pPr>
        <w:numPr>
          <w:ilvl w:val="0"/>
          <w:numId w:val="4"/>
        </w:numPr>
        <w:tabs>
          <w:tab w:val="left" w:pos="540"/>
        </w:tabs>
        <w:autoSpaceDE w:val="0"/>
        <w:autoSpaceDN w:val="0"/>
        <w:adjustRightInd w:val="0"/>
        <w:spacing w:after="200" w:line="480" w:lineRule="auto"/>
        <w:ind w:left="540" w:hanging="540"/>
        <w:contextualSpacing/>
        <w:jc w:val="both"/>
        <w:rPr>
          <w:rFonts w:eastAsia="Calibri"/>
          <w:b/>
        </w:rPr>
      </w:pPr>
      <w:r w:rsidRPr="00B27932">
        <w:rPr>
          <w:rFonts w:eastAsia="Calibri"/>
          <w:b/>
        </w:rPr>
        <w:t>Tujuan Penelitian</w:t>
      </w:r>
    </w:p>
    <w:p w:rsidR="0031351C" w:rsidRPr="00B27932" w:rsidRDefault="0031351C" w:rsidP="0031351C">
      <w:pPr>
        <w:autoSpaceDE w:val="0"/>
        <w:autoSpaceDN w:val="0"/>
        <w:adjustRightInd w:val="0"/>
        <w:spacing w:line="480" w:lineRule="auto"/>
        <w:ind w:firstLine="540"/>
        <w:jc w:val="both"/>
        <w:rPr>
          <w:rFonts w:eastAsia="Calibri"/>
        </w:rPr>
      </w:pPr>
      <w:r w:rsidRPr="00B27932">
        <w:rPr>
          <w:rFonts w:eastAsia="Calibri"/>
        </w:rPr>
        <w:t>Berdasarkan uraian rumusan masalah di atas, maka tujuanyang ingin di capai  dalam penelitian ini yaitu:</w:t>
      </w:r>
    </w:p>
    <w:p w:rsidR="0031351C" w:rsidRPr="00B27932" w:rsidRDefault="0031351C" w:rsidP="0031351C">
      <w:pPr>
        <w:numPr>
          <w:ilvl w:val="0"/>
          <w:numId w:val="2"/>
        </w:numPr>
        <w:autoSpaceDE w:val="0"/>
        <w:autoSpaceDN w:val="0"/>
        <w:adjustRightInd w:val="0"/>
        <w:spacing w:after="200" w:line="480" w:lineRule="auto"/>
        <w:ind w:left="900"/>
        <w:contextualSpacing/>
        <w:jc w:val="both"/>
        <w:rPr>
          <w:rFonts w:eastAsia="Calibri"/>
        </w:rPr>
      </w:pPr>
      <w:r w:rsidRPr="00B27932">
        <w:rPr>
          <w:rFonts w:eastAsia="Calibri"/>
        </w:rPr>
        <w:t>Untuk mengetahui perencanaan pajak (</w:t>
      </w:r>
      <w:r w:rsidRPr="00B27932">
        <w:rPr>
          <w:rFonts w:eastAsia="Calibri"/>
          <w:i/>
        </w:rPr>
        <w:t>tax planning)</w:t>
      </w:r>
      <w:r w:rsidRPr="00B27932">
        <w:rPr>
          <w:rFonts w:eastAsia="Calibri"/>
        </w:rPr>
        <w:t xml:space="preserve"> apa yang digunakan  PT. Semen Tonasa untuk meminmalkan beban pajak penghasilan perusahaan.</w:t>
      </w:r>
    </w:p>
    <w:p w:rsidR="0031351C" w:rsidRPr="00B27932" w:rsidRDefault="0031351C" w:rsidP="0031351C">
      <w:pPr>
        <w:numPr>
          <w:ilvl w:val="0"/>
          <w:numId w:val="2"/>
        </w:numPr>
        <w:autoSpaceDE w:val="0"/>
        <w:autoSpaceDN w:val="0"/>
        <w:adjustRightInd w:val="0"/>
        <w:spacing w:after="200" w:line="480" w:lineRule="auto"/>
        <w:ind w:left="900"/>
        <w:contextualSpacing/>
        <w:jc w:val="both"/>
        <w:rPr>
          <w:rFonts w:eastAsia="Calibri"/>
        </w:rPr>
      </w:pPr>
      <w:r w:rsidRPr="00B27932">
        <w:rPr>
          <w:rFonts w:eastAsia="Calibri"/>
        </w:rPr>
        <w:t>Untuk mengetahui berapa besar penghematan pajak yang di hasilkan dengan menerapkan perencanaan pajak (</w:t>
      </w:r>
      <w:r w:rsidRPr="00B27932">
        <w:rPr>
          <w:rFonts w:eastAsia="Calibri"/>
          <w:i/>
        </w:rPr>
        <w:t>tax planning</w:t>
      </w:r>
      <w:r w:rsidRPr="00B27932">
        <w:rPr>
          <w:rFonts w:eastAsia="Calibri"/>
        </w:rPr>
        <w:t>) yang dilakukan oleh PT. Semen Tonasa.</w:t>
      </w:r>
    </w:p>
    <w:p w:rsidR="0031351C" w:rsidRPr="00B27932" w:rsidRDefault="0031351C" w:rsidP="0031351C">
      <w:pPr>
        <w:numPr>
          <w:ilvl w:val="0"/>
          <w:numId w:val="4"/>
        </w:numPr>
        <w:autoSpaceDE w:val="0"/>
        <w:autoSpaceDN w:val="0"/>
        <w:adjustRightInd w:val="0"/>
        <w:spacing w:after="200" w:line="480" w:lineRule="auto"/>
        <w:ind w:left="540" w:hanging="540"/>
        <w:contextualSpacing/>
        <w:jc w:val="both"/>
        <w:rPr>
          <w:rFonts w:eastAsia="Calibri"/>
          <w:b/>
        </w:rPr>
      </w:pPr>
      <w:r w:rsidRPr="00B27932">
        <w:rPr>
          <w:rFonts w:eastAsia="Calibri"/>
          <w:b/>
        </w:rPr>
        <w:t xml:space="preserve">Manfaat Hasil Penelitian </w:t>
      </w:r>
    </w:p>
    <w:p w:rsidR="0031351C" w:rsidRPr="00B27932" w:rsidRDefault="0031351C" w:rsidP="0031351C">
      <w:pPr>
        <w:autoSpaceDE w:val="0"/>
        <w:autoSpaceDN w:val="0"/>
        <w:adjustRightInd w:val="0"/>
        <w:spacing w:line="480" w:lineRule="auto"/>
        <w:ind w:firstLine="540"/>
        <w:jc w:val="both"/>
        <w:rPr>
          <w:rFonts w:eastAsia="Calibri"/>
          <w:lang w:val="id-ID"/>
        </w:rPr>
      </w:pPr>
      <w:r w:rsidRPr="00B27932">
        <w:rPr>
          <w:rFonts w:eastAsia="Calibri"/>
        </w:rPr>
        <w:t>Dari penlitian ini penulis berharap akan memperoleh sejumlah manfaat sebagai berikut ini :</w:t>
      </w:r>
    </w:p>
    <w:p w:rsidR="0031351C" w:rsidRPr="00B27932" w:rsidRDefault="0031351C" w:rsidP="0031351C">
      <w:pPr>
        <w:numPr>
          <w:ilvl w:val="0"/>
          <w:numId w:val="3"/>
        </w:numPr>
        <w:autoSpaceDE w:val="0"/>
        <w:autoSpaceDN w:val="0"/>
        <w:adjustRightInd w:val="0"/>
        <w:spacing w:after="200" w:line="480" w:lineRule="auto"/>
        <w:ind w:left="900"/>
        <w:contextualSpacing/>
        <w:jc w:val="both"/>
        <w:rPr>
          <w:rFonts w:eastAsia="Calibri"/>
        </w:rPr>
      </w:pPr>
      <w:r w:rsidRPr="00B27932">
        <w:rPr>
          <w:rFonts w:eastAsia="Calibri"/>
        </w:rPr>
        <w:t>Akademik</w:t>
      </w:r>
    </w:p>
    <w:p w:rsidR="0031351C" w:rsidRPr="00B27932" w:rsidRDefault="0031351C" w:rsidP="0031351C">
      <w:pPr>
        <w:autoSpaceDE w:val="0"/>
        <w:autoSpaceDN w:val="0"/>
        <w:adjustRightInd w:val="0"/>
        <w:spacing w:line="480" w:lineRule="auto"/>
        <w:ind w:left="900"/>
        <w:contextualSpacing/>
        <w:jc w:val="both"/>
        <w:rPr>
          <w:rFonts w:eastAsia="Calibri"/>
        </w:rPr>
      </w:pPr>
      <w:r w:rsidRPr="00B27932">
        <w:rPr>
          <w:rFonts w:eastAsia="Calibri"/>
        </w:rPr>
        <w:t>Sebagai dasar pemahaman lebih lanjut terhadap teori yang telah di peroleh, sehingga dapat lebih mengerti dan memahami bagaimana menerapakan perencanaan pajak (</w:t>
      </w:r>
      <w:r w:rsidRPr="00B27932">
        <w:rPr>
          <w:rFonts w:eastAsia="Calibri"/>
          <w:i/>
        </w:rPr>
        <w:t xml:space="preserve">tax planning </w:t>
      </w:r>
      <w:r w:rsidRPr="00B27932">
        <w:rPr>
          <w:rFonts w:eastAsia="Calibri"/>
        </w:rPr>
        <w:t>).</w:t>
      </w:r>
    </w:p>
    <w:p w:rsidR="0031351C" w:rsidRPr="00B27932" w:rsidRDefault="0031351C" w:rsidP="0031351C">
      <w:pPr>
        <w:numPr>
          <w:ilvl w:val="0"/>
          <w:numId w:val="3"/>
        </w:numPr>
        <w:autoSpaceDE w:val="0"/>
        <w:autoSpaceDN w:val="0"/>
        <w:adjustRightInd w:val="0"/>
        <w:spacing w:after="200" w:line="480" w:lineRule="auto"/>
        <w:ind w:left="900"/>
        <w:contextualSpacing/>
        <w:jc w:val="both"/>
        <w:rPr>
          <w:rFonts w:eastAsia="Calibri"/>
        </w:rPr>
      </w:pPr>
      <w:r w:rsidRPr="00B27932">
        <w:rPr>
          <w:rFonts w:eastAsia="Calibri"/>
        </w:rPr>
        <w:t xml:space="preserve">Perusahaan </w:t>
      </w:r>
    </w:p>
    <w:p w:rsidR="0031351C" w:rsidRPr="00B27932" w:rsidRDefault="0031351C" w:rsidP="0031351C">
      <w:pPr>
        <w:autoSpaceDE w:val="0"/>
        <w:autoSpaceDN w:val="0"/>
        <w:adjustRightInd w:val="0"/>
        <w:spacing w:line="480" w:lineRule="auto"/>
        <w:ind w:left="900"/>
        <w:contextualSpacing/>
        <w:jc w:val="both"/>
        <w:rPr>
          <w:rFonts w:eastAsia="Calibri"/>
        </w:rPr>
      </w:pPr>
      <w:r w:rsidRPr="00B27932">
        <w:rPr>
          <w:rFonts w:eastAsia="Calibri"/>
        </w:rPr>
        <w:t>Sebagai masukan kepada manajemen perusahaan agar dalam melaksanakan kewajiban pajaknya mulai mempertimbangkan penerapan perencanaan pajak (</w:t>
      </w:r>
      <w:r w:rsidRPr="00B27932">
        <w:rPr>
          <w:rFonts w:eastAsia="Calibri"/>
          <w:i/>
        </w:rPr>
        <w:t xml:space="preserve">tax planning </w:t>
      </w:r>
      <w:r w:rsidRPr="00B27932">
        <w:rPr>
          <w:rFonts w:eastAsia="Calibri"/>
        </w:rPr>
        <w:t xml:space="preserve">). </w:t>
      </w:r>
    </w:p>
    <w:p w:rsidR="0031351C" w:rsidRPr="00B27932" w:rsidRDefault="0031351C" w:rsidP="0031351C">
      <w:pPr>
        <w:numPr>
          <w:ilvl w:val="0"/>
          <w:numId w:val="3"/>
        </w:numPr>
        <w:autoSpaceDE w:val="0"/>
        <w:autoSpaceDN w:val="0"/>
        <w:adjustRightInd w:val="0"/>
        <w:spacing w:after="200" w:line="480" w:lineRule="auto"/>
        <w:ind w:left="900"/>
        <w:contextualSpacing/>
        <w:jc w:val="both"/>
        <w:rPr>
          <w:rFonts w:eastAsia="Calibri"/>
        </w:rPr>
      </w:pPr>
      <w:r w:rsidRPr="00B27932">
        <w:rPr>
          <w:rFonts w:eastAsia="Calibri"/>
        </w:rPr>
        <w:t>Masyarakat Umum.</w:t>
      </w:r>
    </w:p>
    <w:p w:rsidR="0031351C" w:rsidRPr="00B27932" w:rsidRDefault="0031351C" w:rsidP="0031351C">
      <w:pPr>
        <w:autoSpaceDE w:val="0"/>
        <w:autoSpaceDN w:val="0"/>
        <w:adjustRightInd w:val="0"/>
        <w:spacing w:line="480" w:lineRule="auto"/>
        <w:ind w:left="900"/>
        <w:contextualSpacing/>
        <w:jc w:val="both"/>
        <w:rPr>
          <w:rFonts w:eastAsia="Calibri"/>
        </w:rPr>
      </w:pPr>
      <w:r w:rsidRPr="00B27932">
        <w:rPr>
          <w:rFonts w:eastAsia="Calibri"/>
        </w:rPr>
        <w:t>Hasil dari penelitian ini di harapkan dapat memberi konstribusi lebih bagi masyarakat umum, terkhususnya mahasiswa. Sehingga dapat menambah pengetahuan tentang materi-materi yang di bahas pada penelitian ini.</w:t>
      </w:r>
    </w:p>
    <w:p w:rsidR="0031351C" w:rsidRDefault="0031351C" w:rsidP="0031351C"/>
    <w:p w:rsidR="0031351C" w:rsidRDefault="0031351C" w:rsidP="0031351C"/>
    <w:p w:rsidR="009C6CB3" w:rsidRDefault="009C6CB3">
      <w:bookmarkStart w:id="0" w:name="_GoBack"/>
      <w:bookmarkEnd w:id="0"/>
    </w:p>
    <w:sectPr w:rsidR="009C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10A"/>
    <w:multiLevelType w:val="hybridMultilevel"/>
    <w:tmpl w:val="280E1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357E75"/>
    <w:multiLevelType w:val="hybridMultilevel"/>
    <w:tmpl w:val="3498F628"/>
    <w:lvl w:ilvl="0" w:tplc="F05241B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623EC9"/>
    <w:multiLevelType w:val="hybridMultilevel"/>
    <w:tmpl w:val="B874E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54156"/>
    <w:multiLevelType w:val="hybridMultilevel"/>
    <w:tmpl w:val="9B241A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1C"/>
    <w:rsid w:val="0031351C"/>
    <w:rsid w:val="009C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0A76-24D7-4257-A32B-F4A566E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2018-04-30T06:55:00Z</dcterms:created>
  <dcterms:modified xsi:type="dcterms:W3CDTF">2018-04-30T06:56:00Z</dcterms:modified>
</cp:coreProperties>
</file>