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D0" w:rsidRPr="006552A3" w:rsidRDefault="00060617" w:rsidP="00FE37D0">
      <w:pPr>
        <w:pStyle w:val="Default"/>
        <w:spacing w:line="720" w:lineRule="auto"/>
        <w:jc w:val="center"/>
        <w:rPr>
          <w:b/>
          <w:noProof/>
          <w:lang w:val="id-ID"/>
        </w:rPr>
      </w:pPr>
      <w:r>
        <w:rPr>
          <w:b/>
          <w:noProof/>
        </w:rPr>
        <w:pict>
          <v:rect id="_x0000_s1027" style="position:absolute;left:0;text-align:left;margin-left:389.85pt;margin-top:-85.65pt;width:33pt;height:29.25pt;z-index:251661312" strokecolor="white [3212]"/>
        </w:pict>
      </w:r>
      <w:r w:rsidR="00FE37D0" w:rsidRPr="006552A3">
        <w:rPr>
          <w:b/>
          <w:noProof/>
          <w:lang w:val="id-ID"/>
        </w:rPr>
        <w:t>BAB I</w:t>
      </w:r>
    </w:p>
    <w:p w:rsidR="00FE37D0" w:rsidRPr="006552A3" w:rsidRDefault="00FE37D0" w:rsidP="00FE37D0">
      <w:pPr>
        <w:pStyle w:val="Default"/>
        <w:spacing w:line="720" w:lineRule="auto"/>
        <w:jc w:val="center"/>
        <w:rPr>
          <w:b/>
          <w:noProof/>
          <w:lang w:val="id-ID"/>
        </w:rPr>
      </w:pPr>
      <w:r w:rsidRPr="006552A3">
        <w:rPr>
          <w:b/>
          <w:noProof/>
          <w:lang w:val="id-ID"/>
        </w:rPr>
        <w:t>PENDAHULUAN</w:t>
      </w:r>
    </w:p>
    <w:p w:rsidR="00FE37D0" w:rsidRPr="006552A3" w:rsidRDefault="00FE37D0" w:rsidP="00AB3B52">
      <w:pPr>
        <w:pStyle w:val="Default"/>
        <w:numPr>
          <w:ilvl w:val="0"/>
          <w:numId w:val="3"/>
        </w:numPr>
        <w:spacing w:line="600" w:lineRule="auto"/>
        <w:ind w:left="284" w:hanging="284"/>
        <w:jc w:val="both"/>
        <w:rPr>
          <w:b/>
          <w:noProof/>
          <w:lang w:val="id-ID"/>
        </w:rPr>
      </w:pPr>
      <w:r w:rsidRPr="006552A3">
        <w:rPr>
          <w:b/>
          <w:noProof/>
          <w:lang w:val="id-ID"/>
        </w:rPr>
        <w:t>Latar Belakang</w:t>
      </w:r>
    </w:p>
    <w:p w:rsidR="00FE37D0" w:rsidRPr="006552A3" w:rsidRDefault="00FE37D0" w:rsidP="00FE37D0">
      <w:pPr>
        <w:pStyle w:val="ListParagraph"/>
        <w:spacing w:after="0" w:line="480" w:lineRule="auto"/>
        <w:ind w:left="0" w:firstLine="567"/>
        <w:jc w:val="both"/>
        <w:rPr>
          <w:rFonts w:eastAsiaTheme="minorHAnsi"/>
          <w:sz w:val="24"/>
          <w:lang w:val="id-ID"/>
        </w:rPr>
      </w:pPr>
      <w:r w:rsidRPr="006552A3">
        <w:rPr>
          <w:noProof/>
          <w:sz w:val="24"/>
          <w:lang w:val="id-ID"/>
        </w:rPr>
        <w:t>Indonesia sebagai salah satu negara sedang berkembang dituntut untuk senantiasa meningkatkan pertumbuhan ekonomi masyarakatnya melalui pembinaan pilar ekonomi yang dianggap mampu menopang dan meningkatkan kesejahteraan masyarakat secara adil dan merata. Selain koperasi, swasta, maka salah satu pilar ekonomi yang dianggap mampu untuk mewujudkan kesejahteraan masyarakat Indonesia adalah Badan Usaha Milik Negara (BUMN). Untuk mewujudkan hal itu, pemerintah melalui BUMN diharapkan untuk selalu melakukan pembenahan dalam menghadapi p</w:t>
      </w:r>
      <w:r w:rsidRPr="006552A3">
        <w:rPr>
          <w:rFonts w:eastAsiaTheme="minorHAnsi"/>
          <w:sz w:val="24"/>
          <w:lang w:val="id-ID"/>
        </w:rPr>
        <w:t>erkembangan perekonomian nasional maupun internasional.</w:t>
      </w:r>
    </w:p>
    <w:p w:rsidR="00DF77D7" w:rsidRPr="006552A3" w:rsidRDefault="00060617" w:rsidP="00FE37D0">
      <w:pPr>
        <w:pStyle w:val="ListParagraph"/>
        <w:spacing w:after="0" w:line="480" w:lineRule="auto"/>
        <w:ind w:left="0" w:firstLine="567"/>
        <w:jc w:val="both"/>
        <w:rPr>
          <w:rFonts w:eastAsiaTheme="minorHAnsi"/>
          <w:sz w:val="24"/>
          <w:lang w:val="id-ID"/>
        </w:rPr>
      </w:pPr>
      <w:r w:rsidRPr="00060617">
        <w:rPr>
          <w:noProof/>
          <w:sz w:val="24"/>
        </w:rPr>
        <w:pict>
          <v:rect id="_x0000_s1028" style="position:absolute;left:0;text-align:left;margin-left:178.35pt;margin-top:314.3pt;width:46.5pt;height:32.25pt;z-index:251662336" strokecolor="white [3212]">
            <v:textbox>
              <w:txbxContent>
                <w:p w:rsidR="00D35A01" w:rsidRPr="00D35A01" w:rsidRDefault="00D35A01" w:rsidP="00D35A01">
                  <w:pPr>
                    <w:jc w:val="center"/>
                    <w:rPr>
                      <w:sz w:val="24"/>
                    </w:rPr>
                  </w:pPr>
                  <w:r>
                    <w:rPr>
                      <w:sz w:val="24"/>
                    </w:rPr>
                    <w:t>1</w:t>
                  </w:r>
                </w:p>
              </w:txbxContent>
            </v:textbox>
          </v:rect>
        </w:pict>
      </w:r>
      <w:r w:rsidR="00DF77D7" w:rsidRPr="006552A3">
        <w:rPr>
          <w:noProof/>
          <w:sz w:val="24"/>
          <w:lang w:val="id-ID"/>
        </w:rPr>
        <w:t>Badan Usaha Milik Negara (BUMN) sebagai pelaku ekonomi terbesar di Indonesia diharapkan untuk mampu terus tumbuh dan berkembang agar mampu melakukan kompetisi di era yang semakin terbuka. Dengan aset yang begitu besar dan bergerak pada dua jenis BUMN yakni BUMN infrastruktur seperti PT. Pelabuhan Indonesia, PT. Angkasa Pura, dan lain-lain dan BUMN non infrastruktur seperti PT. Krakatau Steel, PT. Kawasan Industri Makassar dan hampir semua bidang ekonomi seperti : industri dan perdagangan, kawasan industri, jasa konstruksi dan konsultasi, pertambangan dan energi, pertanian dan perkebunan, pelayanan umum, dan lain-lain. Sehingga dengan demikian kinerja BUMN dianggap sangat berpengaruh terhadap kinerja perekonomian Indonesia pada umumnya.</w:t>
      </w:r>
    </w:p>
    <w:p w:rsidR="009B4EF6" w:rsidRPr="006552A3" w:rsidRDefault="00FE37D0" w:rsidP="00FE37D0">
      <w:pPr>
        <w:pStyle w:val="ListParagraph"/>
        <w:spacing w:after="0" w:line="480" w:lineRule="auto"/>
        <w:ind w:left="0" w:firstLine="567"/>
        <w:jc w:val="both"/>
        <w:rPr>
          <w:sz w:val="24"/>
          <w:lang w:val="id-ID"/>
        </w:rPr>
      </w:pPr>
      <w:r w:rsidRPr="006552A3">
        <w:rPr>
          <w:rFonts w:eastAsiaTheme="minorHAnsi"/>
          <w:sz w:val="24"/>
          <w:lang w:val="id-ID"/>
        </w:rPr>
        <w:lastRenderedPageBreak/>
        <w:t xml:space="preserve">Dalam menghadapi situasi perekonomian yang semakin terbuka, BUMN perlu dilandasi dengan sarana dan sistem penilaian kinerja keuangan yang dapat mendorong perusahaan ke arah peningkatan efisiensi dan daya saing. </w:t>
      </w:r>
      <w:r w:rsidR="009B4EF6" w:rsidRPr="006552A3">
        <w:rPr>
          <w:sz w:val="24"/>
          <w:lang w:val="id-ID"/>
        </w:rPr>
        <w:t xml:space="preserve">Salah satu alat yang digunakan untuk melakukan penilaian kinerja keuangan adalah dengan rasio keuangan. </w:t>
      </w:r>
      <w:r w:rsidRPr="006552A3">
        <w:rPr>
          <w:sz w:val="24"/>
          <w:lang w:val="id-ID"/>
        </w:rPr>
        <w:t>Pada umumnya perusahaan swasta menganalisis kinerja keuangan dengan menggunakan analisis rasio keuangan untuk menjelaskan keadaan atau posisi keuangan suatu perusahaan dan dapat menunjukkan perubahan dalam kondisi keuangan serta membantu menggambarkan kecenderungan pola perubahan tersebut yang pada gilirannya dapat menunjukkan analisis risiko dan peluang bagi perusahaan.</w:t>
      </w:r>
      <w:r w:rsidR="009B4EF6" w:rsidRPr="006552A3">
        <w:rPr>
          <w:sz w:val="24"/>
          <w:lang w:val="id-ID"/>
        </w:rPr>
        <w:t xml:space="preserve"> </w:t>
      </w:r>
    </w:p>
    <w:p w:rsidR="00FE37D0" w:rsidRPr="006552A3" w:rsidRDefault="009B4EF6" w:rsidP="00FE37D0">
      <w:pPr>
        <w:pStyle w:val="ListParagraph"/>
        <w:spacing w:after="0" w:line="480" w:lineRule="auto"/>
        <w:ind w:left="0" w:firstLine="567"/>
        <w:jc w:val="both"/>
        <w:rPr>
          <w:sz w:val="24"/>
          <w:lang w:val="id-ID"/>
        </w:rPr>
      </w:pPr>
      <w:r w:rsidRPr="006552A3">
        <w:rPr>
          <w:rFonts w:eastAsiaTheme="minorHAnsi"/>
          <w:sz w:val="24"/>
          <w:lang w:val="id-ID"/>
        </w:rPr>
        <w:t xml:space="preserve">Pengukuran pencapaian kinerja keuangan merupakan pengukuran yang dilakukan dengan menggambarkan apakah hasil kegiatan tahun berjalan dapat tercapai. </w:t>
      </w:r>
      <w:r w:rsidR="00FE37D0" w:rsidRPr="006552A3">
        <w:rPr>
          <w:sz w:val="24"/>
          <w:lang w:val="id-ID"/>
        </w:rPr>
        <w:t>Dari analisis rasio keuangan dapat menggambarkan situasi keuangan perusahaan masa lalu dan sekarang maupun gambaran kecenderungan situasi masa yang akan datang. H</w:t>
      </w:r>
      <w:r w:rsidR="00FE37D0" w:rsidRPr="006552A3">
        <w:rPr>
          <w:noProof/>
          <w:sz w:val="24"/>
          <w:lang w:val="id-ID"/>
        </w:rPr>
        <w:t>asil penilaian kinerja keuangan swasta ini tidak diatur secara baku dengan peraturan pemerintah, sedangkan Badan Usaha Milik Negara (BUMN) dinilai kesehatannya dengan menggunakan peraturan yang sudah dibakukan.</w:t>
      </w:r>
      <w:r w:rsidR="00FE37D0" w:rsidRPr="006552A3">
        <w:rPr>
          <w:sz w:val="24"/>
          <w:lang w:val="id-ID"/>
        </w:rPr>
        <w:t xml:space="preserve"> </w:t>
      </w:r>
    </w:p>
    <w:p w:rsidR="00FE37D0" w:rsidRPr="006552A3" w:rsidRDefault="009B4EF6" w:rsidP="00FE37D0">
      <w:pPr>
        <w:pStyle w:val="ListParagraph"/>
        <w:spacing w:after="0" w:line="480" w:lineRule="auto"/>
        <w:ind w:left="0" w:firstLine="567"/>
        <w:jc w:val="both"/>
        <w:rPr>
          <w:noProof/>
          <w:sz w:val="24"/>
          <w:lang w:val="id-ID"/>
        </w:rPr>
      </w:pPr>
      <w:r w:rsidRPr="006552A3">
        <w:rPr>
          <w:sz w:val="24"/>
          <w:lang w:val="id-ID"/>
        </w:rPr>
        <w:t>T</w:t>
      </w:r>
      <w:r w:rsidR="00FE37D0" w:rsidRPr="006552A3">
        <w:rPr>
          <w:sz w:val="24"/>
          <w:lang w:val="id-ID"/>
        </w:rPr>
        <w:t>ingk</w:t>
      </w:r>
      <w:r w:rsidRPr="006552A3">
        <w:rPr>
          <w:sz w:val="24"/>
          <w:lang w:val="id-ID"/>
        </w:rPr>
        <w:t>at kesehatan BUMN</w:t>
      </w:r>
      <w:r w:rsidR="00FE37D0" w:rsidRPr="006552A3">
        <w:rPr>
          <w:sz w:val="24"/>
          <w:lang w:val="id-ID"/>
        </w:rPr>
        <w:t xml:space="preserve"> diukur dari kinerja keuangannya menduduki fungsi yang penting khususnya bagi pemegang saham dalam mengadakan penilaian kinerja BUMN tersebut. Penilaian tingkat kesehatan BUMN dapat diukur dengan membandingkan realisasi hasil perhitungan rasio keuangan pada suatu tahun dengan pedoman penilaian kesehatan BUMN yang tertuang pada Surat Keputusan Menteri </w:t>
      </w:r>
      <w:r w:rsidR="00FE37D0" w:rsidRPr="006552A3">
        <w:rPr>
          <w:sz w:val="24"/>
          <w:lang w:val="id-ID"/>
        </w:rPr>
        <w:lastRenderedPageBreak/>
        <w:t>Negara BUMN No KEP-100/MBU/2002 tanggal 4 Juni 2002.</w:t>
      </w:r>
      <w:r w:rsidR="006146A1" w:rsidRPr="006552A3">
        <w:rPr>
          <w:sz w:val="24"/>
          <w:lang w:val="id-ID"/>
        </w:rPr>
        <w:t xml:space="preserve"> </w:t>
      </w:r>
      <w:r w:rsidR="006146A1" w:rsidRPr="006552A3">
        <w:rPr>
          <w:noProof/>
          <w:sz w:val="24"/>
          <w:lang w:val="id-ID"/>
        </w:rPr>
        <w:t>Penilaian meliputi aspek keuangan, operasional dan administrasi yang diberikan suatu bobot tertentu.</w:t>
      </w:r>
    </w:p>
    <w:p w:rsidR="00FE37D0" w:rsidRDefault="00FE37D0" w:rsidP="00FE37D0">
      <w:pPr>
        <w:pStyle w:val="ListParagraph"/>
        <w:spacing w:after="0" w:line="480" w:lineRule="auto"/>
        <w:ind w:left="0" w:firstLine="567"/>
        <w:jc w:val="both"/>
        <w:rPr>
          <w:noProof/>
          <w:sz w:val="24"/>
        </w:rPr>
      </w:pPr>
      <w:r w:rsidRPr="006552A3">
        <w:rPr>
          <w:noProof/>
          <w:sz w:val="24"/>
          <w:lang w:val="id-ID"/>
        </w:rPr>
        <w:t>Salah satu BUMN non infrastruktur yang mampu untuk menopang perekonomian Indonesia adalah PT. Aneka Tambang (Persero), Tbk</w:t>
      </w:r>
      <w:r w:rsidR="00C84F12" w:rsidRPr="006552A3">
        <w:rPr>
          <w:noProof/>
          <w:sz w:val="24"/>
          <w:lang w:val="id-ID"/>
        </w:rPr>
        <w:t xml:space="preserve"> UBP Nikel Sulawesi Tenggara yang kegiatan pertambangannya </w:t>
      </w:r>
      <w:r w:rsidR="00C84F12" w:rsidRPr="006552A3">
        <w:rPr>
          <w:sz w:val="24"/>
          <w:lang w:val="id-ID"/>
        </w:rPr>
        <w:t>dimulai sekitar tahun 1909, saat itu hasil eksplorasi menunjukkan endapan bijih nikel di wilayah ini berkadar 3% - 3,5%. Usaha penambangan di Pomalaa, semula berada dalam lingkungan Biro Urusan Perusahaan-Perusahaan Tambang Negara (BUPTAN). Sejak tahun 1961 perusahaan ini berada dalam lingkungan Badan Pimpinan Umum Perusahaan-Perusahaan Tambang Umum (BPU PERTAMBUN</w:t>
      </w:r>
      <w:r w:rsidR="00C84F12" w:rsidRPr="006552A3">
        <w:rPr>
          <w:sz w:val="24"/>
        </w:rPr>
        <w:t>)</w:t>
      </w:r>
      <w:r w:rsidRPr="006552A3">
        <w:rPr>
          <w:noProof/>
          <w:sz w:val="24"/>
          <w:lang w:val="id-ID"/>
        </w:rPr>
        <w:t>. PT. Aneka Tambang (Persero), Tbk</w:t>
      </w:r>
      <w:r w:rsidR="00C84F12" w:rsidRPr="006552A3">
        <w:rPr>
          <w:noProof/>
          <w:sz w:val="24"/>
        </w:rPr>
        <w:t xml:space="preserve"> UBP Nikel Sulawesi Tenggara</w:t>
      </w:r>
      <w:r w:rsidRPr="006552A3">
        <w:rPr>
          <w:noProof/>
          <w:sz w:val="24"/>
          <w:lang w:val="id-ID"/>
        </w:rPr>
        <w:t xml:space="preserve"> bergerak dalam bidang pertambangan, terutama pertambangan </w:t>
      </w:r>
      <w:r w:rsidR="005025FD" w:rsidRPr="006552A3">
        <w:rPr>
          <w:noProof/>
          <w:sz w:val="24"/>
        </w:rPr>
        <w:t>bijih nikel</w:t>
      </w:r>
      <w:r w:rsidRPr="006552A3">
        <w:rPr>
          <w:noProof/>
          <w:sz w:val="24"/>
          <w:lang w:val="id-ID"/>
        </w:rPr>
        <w:t xml:space="preserve">. Operasi pertambangan sendiri meliputi eksplorasi, penambangan, pengolahan, serta pemasaran sumber daya mineral. PT. Aneka Tambang (Persero), Tbk </w:t>
      </w:r>
      <w:r w:rsidR="005025FD" w:rsidRPr="006552A3">
        <w:rPr>
          <w:noProof/>
          <w:sz w:val="24"/>
        </w:rPr>
        <w:t xml:space="preserve">UBP Nikel Sulawesi Tenggara </w:t>
      </w:r>
      <w:r w:rsidRPr="006552A3">
        <w:rPr>
          <w:noProof/>
          <w:sz w:val="24"/>
          <w:lang w:val="id-ID"/>
        </w:rPr>
        <w:t>berkantor pusat di Jakarta</w:t>
      </w:r>
      <w:r w:rsidR="005025FD" w:rsidRPr="006552A3">
        <w:rPr>
          <w:noProof/>
          <w:sz w:val="24"/>
        </w:rPr>
        <w:t>, Gedung Aneka Tambang Jl. Letjen T.B. Simat</w:t>
      </w:r>
      <w:r w:rsidR="009B7968" w:rsidRPr="006552A3">
        <w:rPr>
          <w:noProof/>
          <w:sz w:val="24"/>
        </w:rPr>
        <w:t>upang No. 1</w:t>
      </w:r>
      <w:r w:rsidRPr="006552A3">
        <w:rPr>
          <w:noProof/>
          <w:sz w:val="24"/>
          <w:lang w:val="id-ID"/>
        </w:rPr>
        <w:t>.</w:t>
      </w:r>
    </w:p>
    <w:p w:rsidR="00C80615" w:rsidRPr="006552A3" w:rsidRDefault="00C80615" w:rsidP="00C80615">
      <w:pPr>
        <w:pStyle w:val="ListParagraph"/>
        <w:spacing w:after="0" w:line="480" w:lineRule="auto"/>
        <w:ind w:left="0" w:firstLine="567"/>
        <w:jc w:val="both"/>
        <w:rPr>
          <w:noProof/>
          <w:sz w:val="24"/>
          <w:lang w:val="id-ID"/>
        </w:rPr>
      </w:pPr>
      <w:r w:rsidRPr="006552A3">
        <w:rPr>
          <w:noProof/>
          <w:sz w:val="24"/>
          <w:lang w:val="id-ID"/>
        </w:rPr>
        <w:t xml:space="preserve">Sebagai perusahaan BUMN PT. Aneka Tambang (Persero), Tbk </w:t>
      </w:r>
      <w:r>
        <w:rPr>
          <w:noProof/>
          <w:sz w:val="24"/>
        </w:rPr>
        <w:t>UBP Nikel Sulawesi Tenggara</w:t>
      </w:r>
      <w:r w:rsidRPr="006552A3">
        <w:rPr>
          <w:noProof/>
          <w:sz w:val="24"/>
          <w:lang w:val="id-ID"/>
        </w:rPr>
        <w:t xml:space="preserve"> memiliki visi menjadi perusahaan pertambangan berstandar internasional yang memiliki keunggulan kompetitif di pasar global. Sedangkan misinya adalah menghasilkan produk-produk berkualitas tinggi yaitu nikel, emas dan material lain, dengan mengutamakan keselamatan dan kesehatan kerja serta memperhatikan kelestarian lingkungan, beroperasi secara efisien (berbiaya rendah), memaksimalkan </w:t>
      </w:r>
      <w:r w:rsidRPr="006552A3">
        <w:rPr>
          <w:i/>
          <w:iCs/>
          <w:noProof/>
          <w:sz w:val="24"/>
          <w:lang w:val="id-ID"/>
        </w:rPr>
        <w:t xml:space="preserve">shareholders </w:t>
      </w:r>
      <w:r w:rsidRPr="006552A3">
        <w:rPr>
          <w:noProof/>
          <w:sz w:val="24"/>
          <w:lang w:val="id-ID"/>
        </w:rPr>
        <w:t xml:space="preserve">dan </w:t>
      </w:r>
      <w:r w:rsidRPr="006552A3">
        <w:rPr>
          <w:i/>
          <w:iCs/>
          <w:noProof/>
          <w:sz w:val="24"/>
          <w:lang w:val="id-ID"/>
        </w:rPr>
        <w:t>stakeholders</w:t>
      </w:r>
      <w:r w:rsidRPr="006552A3">
        <w:rPr>
          <w:noProof/>
          <w:sz w:val="24"/>
          <w:lang w:val="id-ID"/>
        </w:rPr>
        <w:t xml:space="preserve"> value, meningkatkan kesejahteraan karyawan, berpartisipasi didalam upaya mensejahterakan masyarakat di sekitar </w:t>
      </w:r>
      <w:r w:rsidRPr="006552A3">
        <w:rPr>
          <w:noProof/>
          <w:sz w:val="24"/>
          <w:lang w:val="id-ID"/>
        </w:rPr>
        <w:lastRenderedPageBreak/>
        <w:t>daerah operasi pertambangan. Selain itu perusahaan juga mempunyai tujuan untuk memperoleh laba. PT. Aneka Tambang (Persero), Tbk</w:t>
      </w:r>
      <w:r>
        <w:rPr>
          <w:noProof/>
          <w:sz w:val="24"/>
        </w:rPr>
        <w:t xml:space="preserve"> UBP Nikel Sulawesi Tenggara</w:t>
      </w:r>
      <w:r w:rsidRPr="006552A3">
        <w:rPr>
          <w:noProof/>
          <w:sz w:val="24"/>
          <w:lang w:val="id-ID"/>
        </w:rPr>
        <w:t xml:space="preserve">  harus menempuh langkah langkah yang diperlukan sehingga perusahaan dapat memaksimalkan laba.</w:t>
      </w:r>
    </w:p>
    <w:p w:rsidR="009B7968" w:rsidRPr="006552A3" w:rsidRDefault="00C80615" w:rsidP="00C80615">
      <w:pPr>
        <w:pStyle w:val="ListParagraph"/>
        <w:spacing w:after="0" w:line="480" w:lineRule="auto"/>
        <w:ind w:left="0" w:firstLine="567"/>
        <w:jc w:val="both"/>
        <w:rPr>
          <w:b/>
          <w:noProof/>
          <w:color w:val="000000"/>
          <w:sz w:val="24"/>
        </w:rPr>
      </w:pPr>
      <w:r>
        <w:rPr>
          <w:noProof/>
          <w:sz w:val="24"/>
        </w:rPr>
        <w:t xml:space="preserve">Pada tabel 1 </w:t>
      </w:r>
      <w:r w:rsidR="009B7968" w:rsidRPr="006552A3">
        <w:rPr>
          <w:noProof/>
          <w:sz w:val="24"/>
        </w:rPr>
        <w:t>meng</w:t>
      </w:r>
      <w:r w:rsidR="00FE37D0" w:rsidRPr="006552A3">
        <w:rPr>
          <w:noProof/>
          <w:sz w:val="24"/>
          <w:lang w:val="id-ID"/>
        </w:rPr>
        <w:t xml:space="preserve">gambarkan keadaan keuangan PT. Aneka Tambang (Persero), Tbk </w:t>
      </w:r>
      <w:r w:rsidR="009B7968" w:rsidRPr="006552A3">
        <w:rPr>
          <w:noProof/>
          <w:sz w:val="24"/>
        </w:rPr>
        <w:t xml:space="preserve">UBP Nikel Sulawesi Tenggara </w:t>
      </w:r>
      <w:r w:rsidR="00FE37D0" w:rsidRPr="006552A3">
        <w:rPr>
          <w:noProof/>
          <w:sz w:val="24"/>
          <w:lang w:val="id-ID"/>
        </w:rPr>
        <w:t>dari tahun 2007 sampai tahun 2011</w:t>
      </w:r>
      <w:r>
        <w:rPr>
          <w:noProof/>
          <w:sz w:val="24"/>
        </w:rPr>
        <w:t xml:space="preserve">. </w:t>
      </w:r>
      <w:proofErr w:type="gramStart"/>
      <w:r>
        <w:rPr>
          <w:sz w:val="24"/>
        </w:rPr>
        <w:t xml:space="preserve">Dari </w:t>
      </w:r>
      <w:proofErr w:type="spellStart"/>
      <w:r>
        <w:rPr>
          <w:sz w:val="24"/>
        </w:rPr>
        <w:t>tabel</w:t>
      </w:r>
      <w:proofErr w:type="spellEnd"/>
      <w:r>
        <w:rPr>
          <w:sz w:val="24"/>
        </w:rPr>
        <w:t xml:space="preserve"> </w:t>
      </w:r>
      <w:proofErr w:type="spellStart"/>
      <w:r>
        <w:rPr>
          <w:sz w:val="24"/>
        </w:rPr>
        <w:t>tersebut</w:t>
      </w:r>
      <w:proofErr w:type="spellEnd"/>
      <w:r>
        <w:rPr>
          <w:sz w:val="24"/>
        </w:rPr>
        <w:t xml:space="preserve"> </w:t>
      </w:r>
      <w:r w:rsidRPr="006552A3">
        <w:rPr>
          <w:sz w:val="24"/>
          <w:lang w:val="id-ID"/>
        </w:rPr>
        <w:t>dapat dilihat bahwa aktiva lancar lebih besar daripada tingkat kewajiban lancar, hal ini tentu menguntungkan dalam pengelolaan modal kerja.</w:t>
      </w:r>
      <w:proofErr w:type="gramEnd"/>
      <w:r w:rsidRPr="006552A3">
        <w:rPr>
          <w:sz w:val="24"/>
          <w:lang w:val="id-ID"/>
        </w:rPr>
        <w:t xml:space="preserve"> Bila ditinjau dari sisi laporan laba rugi, terlihat adanya penurunan penjualan bersih pada tahu</w:t>
      </w:r>
      <w:r>
        <w:rPr>
          <w:sz w:val="24"/>
          <w:lang w:val="id-ID"/>
        </w:rPr>
        <w:t xml:space="preserve">n 2008 sebesar </w:t>
      </w:r>
      <w:r w:rsidR="00E4694F">
        <w:rPr>
          <w:sz w:val="24"/>
        </w:rPr>
        <w:t>39</w:t>
      </w:r>
      <w:r>
        <w:rPr>
          <w:sz w:val="24"/>
          <w:lang w:val="id-ID"/>
        </w:rPr>
        <w:t>,</w:t>
      </w:r>
      <w:r w:rsidR="00E4694F">
        <w:rPr>
          <w:sz w:val="24"/>
        </w:rPr>
        <w:t>43</w:t>
      </w:r>
      <w:r w:rsidRPr="006552A3">
        <w:rPr>
          <w:sz w:val="24"/>
          <w:lang w:val="id-ID"/>
        </w:rPr>
        <w:t xml:space="preserve"> % dibandingkan pada tahun 2007 kemudian penjualan bersih kembali menurun ditahun 2009 sebesar </w:t>
      </w:r>
      <w:r w:rsidR="00E4694F">
        <w:rPr>
          <w:sz w:val="24"/>
        </w:rPr>
        <w:t>40,63</w:t>
      </w:r>
      <w:r w:rsidRPr="006552A3">
        <w:rPr>
          <w:sz w:val="24"/>
          <w:lang w:val="id-ID"/>
        </w:rPr>
        <w:t xml:space="preserve"> % dibandingkan pada tahun sebelumnya dan dari tahun 2009 ke tahun 2010 penjualan bersih mulai menunjukkan hasil yang positif dengan na</w:t>
      </w:r>
      <w:r>
        <w:rPr>
          <w:sz w:val="24"/>
          <w:lang w:val="id-ID"/>
        </w:rPr>
        <w:t xml:space="preserve">iknya penjualan bersih sebesar </w:t>
      </w:r>
      <w:r w:rsidR="00E4694F">
        <w:rPr>
          <w:sz w:val="24"/>
        </w:rPr>
        <w:t>0,79</w:t>
      </w:r>
      <w:r w:rsidRPr="006552A3">
        <w:rPr>
          <w:sz w:val="24"/>
          <w:lang w:val="id-ID"/>
        </w:rPr>
        <w:t xml:space="preserve"> %, kemudian disusul pada tahun 2011 penjualan bersih kembali</w:t>
      </w:r>
      <w:r>
        <w:rPr>
          <w:sz w:val="24"/>
          <w:lang w:val="id-ID"/>
        </w:rPr>
        <w:t xml:space="preserve"> mengalami peningkatan sebesar </w:t>
      </w:r>
      <w:r>
        <w:rPr>
          <w:sz w:val="24"/>
        </w:rPr>
        <w:t>7,53</w:t>
      </w:r>
      <w:r w:rsidRPr="006552A3">
        <w:rPr>
          <w:sz w:val="24"/>
          <w:lang w:val="id-ID"/>
        </w:rPr>
        <w:t xml:space="preserve"> %. Peningkatan dan penurunan tingkat penjualan tersebut sangat berpengaruh terhadap laba bersih yang diperoleh perusahaan namun tidak sampai membuat perusahaan mengalami kerugian, namun hal itu berpengaruh pada tingkat laba yang diperoleh perusahaan, hal ini terlihat pada tahun 2008 yang mengalami penurunan laba sebesar </w:t>
      </w:r>
      <w:r w:rsidR="00E4694F">
        <w:rPr>
          <w:sz w:val="24"/>
        </w:rPr>
        <w:t>70,67</w:t>
      </w:r>
      <w:r w:rsidRPr="006552A3">
        <w:rPr>
          <w:sz w:val="24"/>
          <w:lang w:val="id-ID"/>
        </w:rPr>
        <w:t xml:space="preserve"> % dari tahun sebelumnya kemudian disusul pada tahun 2009 perolehan laba perus</w:t>
      </w:r>
      <w:r>
        <w:rPr>
          <w:sz w:val="24"/>
          <w:lang w:val="id-ID"/>
        </w:rPr>
        <w:t xml:space="preserve">ahaan kembali menurun sebesar </w:t>
      </w:r>
      <w:r w:rsidR="00E4694F">
        <w:rPr>
          <w:sz w:val="24"/>
        </w:rPr>
        <w:t>69,05</w:t>
      </w:r>
      <w:r w:rsidRPr="006552A3">
        <w:rPr>
          <w:sz w:val="24"/>
          <w:lang w:val="id-ID"/>
        </w:rPr>
        <w:t xml:space="preserve"> % dan baru pada tahun 2010 menunjukkan hasil yang positif dengan peningk</w:t>
      </w:r>
      <w:r>
        <w:rPr>
          <w:sz w:val="24"/>
          <w:lang w:val="id-ID"/>
        </w:rPr>
        <w:t xml:space="preserve">atan laba perusahaan sebesar </w:t>
      </w:r>
      <w:r w:rsidR="00E4694F">
        <w:rPr>
          <w:sz w:val="24"/>
        </w:rPr>
        <w:t>89,53</w:t>
      </w:r>
      <w:r>
        <w:rPr>
          <w:sz w:val="24"/>
          <w:lang w:val="id-ID"/>
        </w:rPr>
        <w:t xml:space="preserve"> % kemudian kembali me</w:t>
      </w:r>
      <w:proofErr w:type="spellStart"/>
      <w:r>
        <w:rPr>
          <w:sz w:val="24"/>
        </w:rPr>
        <w:t>nurun</w:t>
      </w:r>
      <w:proofErr w:type="spellEnd"/>
      <w:r w:rsidRPr="006552A3">
        <w:rPr>
          <w:sz w:val="24"/>
          <w:lang w:val="id-ID"/>
        </w:rPr>
        <w:t xml:space="preserve"> sebesar </w:t>
      </w:r>
      <w:r>
        <w:rPr>
          <w:sz w:val="24"/>
        </w:rPr>
        <w:t>0</w:t>
      </w:r>
      <w:r w:rsidRPr="006552A3">
        <w:rPr>
          <w:sz w:val="24"/>
          <w:lang w:val="id-ID"/>
        </w:rPr>
        <w:t>,</w:t>
      </w:r>
      <w:r>
        <w:rPr>
          <w:sz w:val="24"/>
        </w:rPr>
        <w:t>23</w:t>
      </w:r>
      <w:r w:rsidRPr="006552A3">
        <w:rPr>
          <w:sz w:val="24"/>
          <w:lang w:val="id-ID"/>
        </w:rPr>
        <w:t xml:space="preserve"> % pada tahun 2011.</w:t>
      </w:r>
    </w:p>
    <w:p w:rsidR="009B7968" w:rsidRPr="006552A3" w:rsidRDefault="009B7968" w:rsidP="00FE37D0">
      <w:pPr>
        <w:pStyle w:val="ListParagraph"/>
        <w:spacing w:after="0" w:line="240" w:lineRule="auto"/>
        <w:ind w:left="0"/>
        <w:jc w:val="center"/>
        <w:rPr>
          <w:b/>
          <w:noProof/>
          <w:color w:val="000000"/>
          <w:sz w:val="24"/>
        </w:rPr>
      </w:pPr>
    </w:p>
    <w:p w:rsidR="009B7968" w:rsidRPr="006552A3" w:rsidRDefault="009B7968" w:rsidP="00FE37D0">
      <w:pPr>
        <w:pStyle w:val="ListParagraph"/>
        <w:spacing w:after="0" w:line="240" w:lineRule="auto"/>
        <w:ind w:left="0"/>
        <w:jc w:val="center"/>
        <w:rPr>
          <w:b/>
          <w:noProof/>
          <w:color w:val="000000"/>
          <w:sz w:val="24"/>
        </w:rPr>
      </w:pPr>
    </w:p>
    <w:p w:rsidR="006552A3" w:rsidRPr="006552A3" w:rsidRDefault="006552A3" w:rsidP="00FE37D0">
      <w:pPr>
        <w:pStyle w:val="ListParagraph"/>
        <w:spacing w:after="0" w:line="240" w:lineRule="auto"/>
        <w:ind w:left="0"/>
        <w:jc w:val="center"/>
        <w:rPr>
          <w:b/>
          <w:noProof/>
          <w:color w:val="000000"/>
          <w:sz w:val="24"/>
          <w:lang w:val="id-ID"/>
        </w:rPr>
        <w:sectPr w:rsidR="006552A3" w:rsidRPr="006552A3" w:rsidSect="00FE37D0">
          <w:headerReference w:type="default" r:id="rId7"/>
          <w:pgSz w:w="12191" w:h="16840" w:code="1"/>
          <w:pgMar w:top="2268" w:right="1701" w:bottom="1701" w:left="2268" w:header="720" w:footer="720" w:gutter="0"/>
          <w:cols w:space="720"/>
          <w:docGrid w:linePitch="360"/>
        </w:sectPr>
      </w:pPr>
    </w:p>
    <w:p w:rsidR="00FE37D0" w:rsidRPr="00B51DBB" w:rsidRDefault="00060617" w:rsidP="00FE37D0">
      <w:pPr>
        <w:pStyle w:val="ListParagraph"/>
        <w:spacing w:after="0" w:line="240" w:lineRule="auto"/>
        <w:ind w:left="0"/>
        <w:jc w:val="center"/>
        <w:rPr>
          <w:b/>
          <w:noProof/>
          <w:color w:val="000000"/>
          <w:sz w:val="24"/>
        </w:rPr>
      </w:pPr>
      <w:r>
        <w:rPr>
          <w:b/>
          <w:noProof/>
          <w:color w:val="000000"/>
          <w:sz w:val="24"/>
        </w:rPr>
        <w:lastRenderedPageBreak/>
        <w:pict>
          <v:rect id="_x0000_s1030" style="position:absolute;left:0;text-align:left;margin-left:631.7pt;margin-top:-52.4pt;width:25.95pt;height:15.9pt;z-index:251663360" strokecolor="white [3212]"/>
        </w:pict>
      </w:r>
      <w:r w:rsidR="00FE37D0" w:rsidRPr="006552A3">
        <w:rPr>
          <w:b/>
          <w:noProof/>
          <w:color w:val="000000"/>
          <w:sz w:val="24"/>
          <w:lang w:val="id-ID"/>
        </w:rPr>
        <w:t>Tabel 1</w:t>
      </w:r>
      <w:r w:rsidR="00B51DBB">
        <w:rPr>
          <w:b/>
          <w:noProof/>
          <w:color w:val="000000"/>
          <w:sz w:val="24"/>
        </w:rPr>
        <w:t>.1</w:t>
      </w:r>
    </w:p>
    <w:p w:rsidR="009B7968" w:rsidRPr="006552A3" w:rsidRDefault="00FE37D0" w:rsidP="00FE37D0">
      <w:pPr>
        <w:pStyle w:val="ListParagraph"/>
        <w:spacing w:after="0" w:line="240" w:lineRule="auto"/>
        <w:ind w:left="0"/>
        <w:jc w:val="center"/>
        <w:rPr>
          <w:b/>
          <w:noProof/>
          <w:color w:val="000000"/>
          <w:sz w:val="24"/>
        </w:rPr>
      </w:pPr>
      <w:r w:rsidRPr="006552A3">
        <w:rPr>
          <w:b/>
          <w:noProof/>
          <w:color w:val="000000"/>
          <w:sz w:val="24"/>
          <w:lang w:val="id-ID"/>
        </w:rPr>
        <w:t>Ringkasan Laporan Keuangan</w:t>
      </w:r>
    </w:p>
    <w:p w:rsidR="00FE37D0" w:rsidRPr="006552A3" w:rsidRDefault="00FE37D0" w:rsidP="00FE37D0">
      <w:pPr>
        <w:pStyle w:val="ListParagraph"/>
        <w:spacing w:after="0" w:line="240" w:lineRule="auto"/>
        <w:ind w:left="0"/>
        <w:jc w:val="center"/>
        <w:rPr>
          <w:b/>
          <w:noProof/>
          <w:color w:val="000000"/>
          <w:sz w:val="24"/>
        </w:rPr>
      </w:pPr>
      <w:r w:rsidRPr="006552A3">
        <w:rPr>
          <w:b/>
          <w:noProof/>
          <w:sz w:val="24"/>
          <w:lang w:val="id-ID"/>
        </w:rPr>
        <w:t>PT. Aneka Tambang (Persero), Tbk</w:t>
      </w:r>
      <w:r w:rsidR="009B7968" w:rsidRPr="006552A3">
        <w:rPr>
          <w:b/>
          <w:noProof/>
          <w:sz w:val="24"/>
        </w:rPr>
        <w:t xml:space="preserve"> UBP Nikel Sulawesi Tenggara</w:t>
      </w:r>
    </w:p>
    <w:p w:rsidR="00FE37D0" w:rsidRPr="006552A3" w:rsidRDefault="00FE37D0" w:rsidP="00FE37D0">
      <w:pPr>
        <w:pStyle w:val="ListParagraph"/>
        <w:spacing w:after="0" w:line="240" w:lineRule="auto"/>
        <w:ind w:left="0"/>
        <w:jc w:val="center"/>
        <w:rPr>
          <w:b/>
          <w:noProof/>
          <w:color w:val="000000"/>
          <w:sz w:val="24"/>
          <w:lang w:val="id-ID"/>
        </w:rPr>
      </w:pPr>
      <w:r w:rsidRPr="006552A3">
        <w:rPr>
          <w:b/>
          <w:noProof/>
          <w:color w:val="000000"/>
          <w:sz w:val="24"/>
          <w:lang w:val="id-ID"/>
        </w:rPr>
        <w:t>Tahun 2007-2011</w:t>
      </w:r>
    </w:p>
    <w:p w:rsidR="00FE37D0" w:rsidRPr="006552A3" w:rsidRDefault="00FE37D0" w:rsidP="00FE37D0">
      <w:pPr>
        <w:pStyle w:val="ListParagraph"/>
        <w:spacing w:after="0" w:line="240" w:lineRule="auto"/>
        <w:ind w:left="0"/>
        <w:jc w:val="center"/>
        <w:rPr>
          <w:i/>
          <w:noProof/>
          <w:sz w:val="24"/>
          <w:lang w:val="id-ID"/>
        </w:rPr>
      </w:pPr>
    </w:p>
    <w:tbl>
      <w:tblPr>
        <w:tblStyle w:val="LightShading1"/>
        <w:tblW w:w="13823" w:type="dxa"/>
        <w:tblInd w:w="-176" w:type="dxa"/>
        <w:tblLayout w:type="fixed"/>
        <w:tblLook w:val="04A0"/>
      </w:tblPr>
      <w:tblGrid>
        <w:gridCol w:w="1208"/>
        <w:gridCol w:w="2126"/>
        <w:gridCol w:w="2126"/>
        <w:gridCol w:w="1985"/>
        <w:gridCol w:w="2126"/>
        <w:gridCol w:w="2126"/>
        <w:gridCol w:w="2126"/>
      </w:tblGrid>
      <w:tr w:rsidR="00FE37D0" w:rsidRPr="006552A3" w:rsidTr="00E7600D">
        <w:trPr>
          <w:cnfStyle w:val="100000000000"/>
          <w:trHeight w:val="397"/>
        </w:trPr>
        <w:tc>
          <w:tcPr>
            <w:cnfStyle w:val="001000000000"/>
            <w:tcW w:w="1208" w:type="dxa"/>
            <w:shd w:val="clear" w:color="auto" w:fill="auto"/>
            <w:vAlign w:val="center"/>
          </w:tcPr>
          <w:p w:rsidR="00FE37D0" w:rsidRPr="006552A3" w:rsidRDefault="00FE37D0" w:rsidP="00FE37D0">
            <w:pPr>
              <w:pStyle w:val="ListParagraph"/>
              <w:ind w:left="0"/>
              <w:jc w:val="center"/>
              <w:rPr>
                <w:noProof/>
                <w:sz w:val="24"/>
              </w:rPr>
            </w:pPr>
            <w:r w:rsidRPr="006552A3">
              <w:rPr>
                <w:color w:val="000000"/>
                <w:sz w:val="24"/>
              </w:rPr>
              <w:t>Tahun</w:t>
            </w:r>
          </w:p>
        </w:tc>
        <w:tc>
          <w:tcPr>
            <w:tcW w:w="2126" w:type="dxa"/>
            <w:shd w:val="clear" w:color="auto" w:fill="auto"/>
            <w:vAlign w:val="center"/>
          </w:tcPr>
          <w:p w:rsidR="00FE37D0" w:rsidRPr="006552A3" w:rsidRDefault="00FE37D0" w:rsidP="00FE37D0">
            <w:pPr>
              <w:pStyle w:val="ListParagraph"/>
              <w:ind w:left="0"/>
              <w:jc w:val="center"/>
              <w:cnfStyle w:val="100000000000"/>
              <w:rPr>
                <w:noProof/>
                <w:sz w:val="24"/>
              </w:rPr>
            </w:pPr>
            <w:r w:rsidRPr="006552A3">
              <w:rPr>
                <w:noProof/>
                <w:sz w:val="24"/>
              </w:rPr>
              <w:t>Aktiva Lancar</w:t>
            </w:r>
          </w:p>
        </w:tc>
        <w:tc>
          <w:tcPr>
            <w:tcW w:w="2126" w:type="dxa"/>
            <w:shd w:val="clear" w:color="auto" w:fill="auto"/>
            <w:vAlign w:val="center"/>
          </w:tcPr>
          <w:p w:rsidR="00FE37D0" w:rsidRPr="006552A3" w:rsidRDefault="00FE37D0" w:rsidP="00FE37D0">
            <w:pPr>
              <w:pStyle w:val="ListParagraph"/>
              <w:ind w:left="0"/>
              <w:jc w:val="center"/>
              <w:cnfStyle w:val="100000000000"/>
              <w:rPr>
                <w:noProof/>
                <w:sz w:val="24"/>
              </w:rPr>
            </w:pPr>
            <w:r w:rsidRPr="006552A3">
              <w:rPr>
                <w:noProof/>
                <w:sz w:val="24"/>
              </w:rPr>
              <w:t>Total Aktiva</w:t>
            </w:r>
          </w:p>
        </w:tc>
        <w:tc>
          <w:tcPr>
            <w:tcW w:w="1985" w:type="dxa"/>
            <w:shd w:val="clear" w:color="auto" w:fill="auto"/>
            <w:vAlign w:val="center"/>
          </w:tcPr>
          <w:p w:rsidR="00FE37D0" w:rsidRPr="006552A3" w:rsidRDefault="00FE37D0" w:rsidP="00FE37D0">
            <w:pPr>
              <w:pStyle w:val="ListParagraph"/>
              <w:ind w:left="0"/>
              <w:jc w:val="center"/>
              <w:cnfStyle w:val="100000000000"/>
              <w:rPr>
                <w:noProof/>
                <w:sz w:val="24"/>
              </w:rPr>
            </w:pPr>
            <w:r w:rsidRPr="006552A3">
              <w:rPr>
                <w:noProof/>
                <w:sz w:val="24"/>
              </w:rPr>
              <w:t>Hutang Lancar</w:t>
            </w:r>
          </w:p>
        </w:tc>
        <w:tc>
          <w:tcPr>
            <w:tcW w:w="2126" w:type="dxa"/>
            <w:shd w:val="clear" w:color="auto" w:fill="auto"/>
            <w:vAlign w:val="center"/>
          </w:tcPr>
          <w:p w:rsidR="00FE37D0" w:rsidRPr="006552A3" w:rsidRDefault="00FE37D0" w:rsidP="00FE37D0">
            <w:pPr>
              <w:pStyle w:val="ListParagraph"/>
              <w:ind w:left="0"/>
              <w:jc w:val="center"/>
              <w:cnfStyle w:val="100000000000"/>
              <w:rPr>
                <w:noProof/>
                <w:sz w:val="24"/>
              </w:rPr>
            </w:pPr>
            <w:r w:rsidRPr="006552A3">
              <w:rPr>
                <w:noProof/>
                <w:sz w:val="24"/>
              </w:rPr>
              <w:t xml:space="preserve">Total Ekuitas </w:t>
            </w:r>
          </w:p>
        </w:tc>
        <w:tc>
          <w:tcPr>
            <w:tcW w:w="2126" w:type="dxa"/>
            <w:shd w:val="clear" w:color="auto" w:fill="auto"/>
            <w:vAlign w:val="center"/>
          </w:tcPr>
          <w:p w:rsidR="00FE37D0" w:rsidRPr="006552A3" w:rsidRDefault="00FE37D0" w:rsidP="00FE37D0">
            <w:pPr>
              <w:pStyle w:val="ListParagraph"/>
              <w:ind w:left="0"/>
              <w:jc w:val="center"/>
              <w:cnfStyle w:val="100000000000"/>
              <w:rPr>
                <w:noProof/>
                <w:sz w:val="24"/>
              </w:rPr>
            </w:pPr>
            <w:r w:rsidRPr="006552A3">
              <w:rPr>
                <w:noProof/>
                <w:sz w:val="24"/>
              </w:rPr>
              <w:t>Penjualan Bersih</w:t>
            </w:r>
          </w:p>
        </w:tc>
        <w:tc>
          <w:tcPr>
            <w:tcW w:w="2126" w:type="dxa"/>
            <w:shd w:val="clear" w:color="auto" w:fill="auto"/>
            <w:vAlign w:val="center"/>
          </w:tcPr>
          <w:p w:rsidR="00FE37D0" w:rsidRPr="006552A3" w:rsidRDefault="00FE37D0" w:rsidP="00FE37D0">
            <w:pPr>
              <w:pStyle w:val="ListParagraph"/>
              <w:ind w:left="0"/>
              <w:jc w:val="center"/>
              <w:cnfStyle w:val="100000000000"/>
              <w:rPr>
                <w:noProof/>
                <w:sz w:val="24"/>
              </w:rPr>
            </w:pPr>
            <w:r w:rsidRPr="006552A3">
              <w:rPr>
                <w:color w:val="000000"/>
                <w:sz w:val="24"/>
              </w:rPr>
              <w:t>Laba/Rugi Sebelum PPh Badan</w:t>
            </w:r>
          </w:p>
        </w:tc>
      </w:tr>
      <w:tr w:rsidR="006552A3" w:rsidRPr="006552A3" w:rsidTr="00E7600D">
        <w:trPr>
          <w:cnfStyle w:val="000000100000"/>
          <w:trHeight w:val="397"/>
        </w:trPr>
        <w:tc>
          <w:tcPr>
            <w:cnfStyle w:val="001000000000"/>
            <w:tcW w:w="1208" w:type="dxa"/>
            <w:shd w:val="clear" w:color="auto" w:fill="auto"/>
            <w:vAlign w:val="center"/>
          </w:tcPr>
          <w:p w:rsidR="00FE37D0" w:rsidRPr="006552A3" w:rsidRDefault="00FE37D0" w:rsidP="00FE37D0">
            <w:pPr>
              <w:jc w:val="center"/>
              <w:rPr>
                <w:color w:val="000000"/>
                <w:sz w:val="24"/>
              </w:rPr>
            </w:pPr>
            <w:r w:rsidRPr="006552A3">
              <w:rPr>
                <w:color w:val="000000"/>
                <w:sz w:val="24"/>
              </w:rPr>
              <w:t>2007</w:t>
            </w:r>
          </w:p>
        </w:tc>
        <w:tc>
          <w:tcPr>
            <w:tcW w:w="2126" w:type="dxa"/>
            <w:shd w:val="clear" w:color="auto" w:fill="auto"/>
            <w:vAlign w:val="center"/>
          </w:tcPr>
          <w:p w:rsidR="00FE37D0" w:rsidRPr="006552A3" w:rsidRDefault="00F46C71" w:rsidP="00FE37D0">
            <w:pPr>
              <w:pStyle w:val="ListParagraph"/>
              <w:ind w:left="0"/>
              <w:jc w:val="right"/>
              <w:cnfStyle w:val="000000100000"/>
              <w:rPr>
                <w:noProof/>
                <w:sz w:val="24"/>
                <w:lang w:val="en-US"/>
              </w:rPr>
            </w:pPr>
            <w:r w:rsidRPr="006552A3">
              <w:rPr>
                <w:noProof/>
                <w:sz w:val="24"/>
                <w:lang w:val="en-US"/>
              </w:rPr>
              <w:t>2.906.064.751.67</w:t>
            </w:r>
            <w:r w:rsidR="008052A7">
              <w:rPr>
                <w:noProof/>
                <w:sz w:val="24"/>
                <w:lang w:val="en-US"/>
              </w:rPr>
              <w:t>5</w:t>
            </w:r>
          </w:p>
        </w:tc>
        <w:tc>
          <w:tcPr>
            <w:tcW w:w="2126" w:type="dxa"/>
            <w:shd w:val="clear" w:color="auto" w:fill="auto"/>
            <w:vAlign w:val="center"/>
          </w:tcPr>
          <w:p w:rsidR="00FE37D0" w:rsidRPr="006552A3" w:rsidRDefault="00F46C71" w:rsidP="00FE37D0">
            <w:pPr>
              <w:pStyle w:val="ListParagraph"/>
              <w:ind w:left="0" w:right="34"/>
              <w:jc w:val="right"/>
              <w:cnfStyle w:val="000000100000"/>
              <w:rPr>
                <w:noProof/>
                <w:sz w:val="24"/>
                <w:lang w:val="en-US"/>
              </w:rPr>
            </w:pPr>
            <w:r w:rsidRPr="006552A3">
              <w:rPr>
                <w:noProof/>
                <w:sz w:val="24"/>
                <w:lang w:val="en-US"/>
              </w:rPr>
              <w:t>5.500.988.764.45</w:t>
            </w:r>
            <w:r w:rsidR="008052A7">
              <w:rPr>
                <w:noProof/>
                <w:sz w:val="24"/>
                <w:lang w:val="en-US"/>
              </w:rPr>
              <w:t>3</w:t>
            </w:r>
          </w:p>
        </w:tc>
        <w:tc>
          <w:tcPr>
            <w:tcW w:w="1985" w:type="dxa"/>
            <w:shd w:val="clear" w:color="auto" w:fill="auto"/>
            <w:vAlign w:val="center"/>
          </w:tcPr>
          <w:p w:rsidR="00FE37D0" w:rsidRPr="006552A3" w:rsidRDefault="00F46C71" w:rsidP="00FE37D0">
            <w:pPr>
              <w:pStyle w:val="ListParagraph"/>
              <w:ind w:left="0"/>
              <w:jc w:val="right"/>
              <w:cnfStyle w:val="000000100000"/>
              <w:rPr>
                <w:noProof/>
                <w:sz w:val="24"/>
                <w:lang w:val="en-US"/>
              </w:rPr>
            </w:pPr>
            <w:r w:rsidRPr="006552A3">
              <w:rPr>
                <w:noProof/>
                <w:sz w:val="24"/>
                <w:lang w:val="en-US"/>
              </w:rPr>
              <w:t>397.795.388.701</w:t>
            </w:r>
          </w:p>
        </w:tc>
        <w:tc>
          <w:tcPr>
            <w:tcW w:w="2126" w:type="dxa"/>
            <w:shd w:val="clear" w:color="auto" w:fill="auto"/>
            <w:vAlign w:val="center"/>
          </w:tcPr>
          <w:p w:rsidR="00FE37D0" w:rsidRPr="006552A3" w:rsidRDefault="00F46C71" w:rsidP="00FE37D0">
            <w:pPr>
              <w:pStyle w:val="ListParagraph"/>
              <w:ind w:left="-69"/>
              <w:jc w:val="right"/>
              <w:cnfStyle w:val="000000100000"/>
              <w:rPr>
                <w:noProof/>
                <w:sz w:val="24"/>
                <w:lang w:val="en-US"/>
              </w:rPr>
            </w:pPr>
            <w:r w:rsidRPr="006552A3">
              <w:rPr>
                <w:noProof/>
                <w:sz w:val="24"/>
                <w:lang w:val="en-US"/>
              </w:rPr>
              <w:t>5.014.766.803.73</w:t>
            </w:r>
            <w:r w:rsidR="008052A7">
              <w:rPr>
                <w:noProof/>
                <w:sz w:val="24"/>
                <w:lang w:val="en-US"/>
              </w:rPr>
              <w:t>7</w:t>
            </w:r>
          </w:p>
        </w:tc>
        <w:tc>
          <w:tcPr>
            <w:tcW w:w="2126" w:type="dxa"/>
            <w:shd w:val="clear" w:color="auto" w:fill="auto"/>
            <w:vAlign w:val="center"/>
          </w:tcPr>
          <w:p w:rsidR="00FE37D0" w:rsidRPr="006552A3" w:rsidRDefault="007D4F34" w:rsidP="007D4F34">
            <w:pPr>
              <w:pStyle w:val="ListParagraph"/>
              <w:ind w:left="-69" w:right="-5"/>
              <w:jc w:val="right"/>
              <w:cnfStyle w:val="000000100000"/>
              <w:rPr>
                <w:noProof/>
                <w:sz w:val="24"/>
                <w:lang w:val="en-US"/>
              </w:rPr>
            </w:pPr>
            <w:r>
              <w:rPr>
                <w:noProof/>
                <w:sz w:val="24"/>
                <w:lang w:val="en-US"/>
              </w:rPr>
              <w:t>10</w:t>
            </w:r>
            <w:r w:rsidR="007A20B7" w:rsidRPr="006552A3">
              <w:rPr>
                <w:noProof/>
                <w:sz w:val="24"/>
                <w:lang w:val="en-US"/>
              </w:rPr>
              <w:t>.</w:t>
            </w:r>
            <w:r>
              <w:rPr>
                <w:noProof/>
                <w:sz w:val="24"/>
                <w:lang w:val="en-US"/>
              </w:rPr>
              <w:t>687</w:t>
            </w:r>
            <w:r w:rsidR="007A20B7" w:rsidRPr="006552A3">
              <w:rPr>
                <w:noProof/>
                <w:sz w:val="24"/>
                <w:lang w:val="en-US"/>
              </w:rPr>
              <w:t>.</w:t>
            </w:r>
            <w:r>
              <w:rPr>
                <w:noProof/>
                <w:sz w:val="24"/>
                <w:lang w:val="en-US"/>
              </w:rPr>
              <w:t>415</w:t>
            </w:r>
            <w:r w:rsidR="007A20B7" w:rsidRPr="006552A3">
              <w:rPr>
                <w:noProof/>
                <w:sz w:val="24"/>
                <w:lang w:val="en-US"/>
              </w:rPr>
              <w:t>.</w:t>
            </w:r>
            <w:r>
              <w:rPr>
                <w:noProof/>
                <w:sz w:val="24"/>
                <w:lang w:val="en-US"/>
              </w:rPr>
              <w:t>555</w:t>
            </w:r>
            <w:r w:rsidR="007A20B7" w:rsidRPr="006552A3">
              <w:rPr>
                <w:noProof/>
                <w:sz w:val="24"/>
                <w:lang w:val="en-US"/>
              </w:rPr>
              <w:t>.</w:t>
            </w:r>
            <w:r>
              <w:rPr>
                <w:noProof/>
                <w:sz w:val="24"/>
                <w:lang w:val="en-US"/>
              </w:rPr>
              <w:t>378</w:t>
            </w:r>
          </w:p>
        </w:tc>
        <w:tc>
          <w:tcPr>
            <w:tcW w:w="2126" w:type="dxa"/>
            <w:shd w:val="clear" w:color="auto" w:fill="auto"/>
            <w:vAlign w:val="center"/>
          </w:tcPr>
          <w:p w:rsidR="00FE37D0" w:rsidRPr="006552A3" w:rsidRDefault="007D4F34" w:rsidP="007D4F34">
            <w:pPr>
              <w:pStyle w:val="ListParagraph"/>
              <w:ind w:left="0" w:right="34"/>
              <w:jc w:val="right"/>
              <w:cnfStyle w:val="000000100000"/>
              <w:rPr>
                <w:noProof/>
                <w:sz w:val="24"/>
                <w:lang w:val="en-US"/>
              </w:rPr>
            </w:pPr>
            <w:r>
              <w:rPr>
                <w:noProof/>
                <w:sz w:val="24"/>
                <w:lang w:val="en-US"/>
              </w:rPr>
              <w:t>7</w:t>
            </w:r>
            <w:r w:rsidR="00F010A9" w:rsidRPr="006552A3">
              <w:rPr>
                <w:noProof/>
                <w:sz w:val="24"/>
                <w:lang w:val="en-US"/>
              </w:rPr>
              <w:t>.</w:t>
            </w:r>
            <w:r>
              <w:rPr>
                <w:noProof/>
                <w:sz w:val="24"/>
                <w:lang w:val="en-US"/>
              </w:rPr>
              <w:t>178</w:t>
            </w:r>
            <w:r w:rsidR="00F010A9" w:rsidRPr="006552A3">
              <w:rPr>
                <w:noProof/>
                <w:sz w:val="24"/>
                <w:lang w:val="en-US"/>
              </w:rPr>
              <w:t>.</w:t>
            </w:r>
            <w:r>
              <w:rPr>
                <w:noProof/>
                <w:sz w:val="24"/>
                <w:lang w:val="en-US"/>
              </w:rPr>
              <w:t>478</w:t>
            </w:r>
            <w:r w:rsidR="00F010A9" w:rsidRPr="006552A3">
              <w:rPr>
                <w:noProof/>
                <w:sz w:val="24"/>
                <w:lang w:val="en-US"/>
              </w:rPr>
              <w:t>.</w:t>
            </w:r>
            <w:r>
              <w:rPr>
                <w:noProof/>
                <w:sz w:val="24"/>
                <w:lang w:val="en-US"/>
              </w:rPr>
              <w:t>281</w:t>
            </w:r>
            <w:r w:rsidR="00F010A9" w:rsidRPr="006552A3">
              <w:rPr>
                <w:noProof/>
                <w:sz w:val="24"/>
                <w:lang w:val="en-US"/>
              </w:rPr>
              <w:t>.</w:t>
            </w:r>
            <w:r>
              <w:rPr>
                <w:noProof/>
                <w:sz w:val="24"/>
                <w:lang w:val="en-US"/>
              </w:rPr>
              <w:t>890</w:t>
            </w:r>
          </w:p>
        </w:tc>
      </w:tr>
      <w:tr w:rsidR="00FE37D0" w:rsidRPr="006552A3" w:rsidTr="00E7600D">
        <w:trPr>
          <w:trHeight w:val="397"/>
        </w:trPr>
        <w:tc>
          <w:tcPr>
            <w:cnfStyle w:val="001000000000"/>
            <w:tcW w:w="1208" w:type="dxa"/>
            <w:shd w:val="clear" w:color="auto" w:fill="auto"/>
            <w:vAlign w:val="center"/>
          </w:tcPr>
          <w:p w:rsidR="00FE37D0" w:rsidRPr="006552A3" w:rsidRDefault="00FE37D0" w:rsidP="00FE37D0">
            <w:pPr>
              <w:jc w:val="center"/>
              <w:rPr>
                <w:color w:val="000000"/>
                <w:sz w:val="24"/>
              </w:rPr>
            </w:pPr>
            <w:r w:rsidRPr="006552A3">
              <w:rPr>
                <w:color w:val="000000"/>
                <w:sz w:val="24"/>
              </w:rPr>
              <w:t>2008</w:t>
            </w:r>
          </w:p>
        </w:tc>
        <w:tc>
          <w:tcPr>
            <w:tcW w:w="2126" w:type="dxa"/>
            <w:shd w:val="clear" w:color="auto" w:fill="auto"/>
            <w:vAlign w:val="center"/>
          </w:tcPr>
          <w:p w:rsidR="00FE37D0" w:rsidRPr="006552A3" w:rsidRDefault="007A20B7" w:rsidP="00FE37D0">
            <w:pPr>
              <w:pStyle w:val="ListParagraph"/>
              <w:ind w:left="0"/>
              <w:jc w:val="right"/>
              <w:cnfStyle w:val="000000000000"/>
              <w:rPr>
                <w:noProof/>
                <w:sz w:val="24"/>
                <w:lang w:val="en-US"/>
              </w:rPr>
            </w:pPr>
            <w:r w:rsidRPr="006552A3">
              <w:rPr>
                <w:noProof/>
                <w:sz w:val="24"/>
                <w:lang w:val="en-US"/>
              </w:rPr>
              <w:t>1.803.904.309.782</w:t>
            </w:r>
          </w:p>
        </w:tc>
        <w:tc>
          <w:tcPr>
            <w:tcW w:w="2126" w:type="dxa"/>
            <w:shd w:val="clear" w:color="auto" w:fill="auto"/>
            <w:vAlign w:val="center"/>
          </w:tcPr>
          <w:p w:rsidR="00FE37D0" w:rsidRPr="006552A3" w:rsidRDefault="007A20B7" w:rsidP="00FE37D0">
            <w:pPr>
              <w:pStyle w:val="ListParagraph"/>
              <w:ind w:left="0" w:right="34"/>
              <w:jc w:val="right"/>
              <w:cnfStyle w:val="000000000000"/>
              <w:rPr>
                <w:noProof/>
                <w:sz w:val="24"/>
                <w:lang w:val="en-US"/>
              </w:rPr>
            </w:pPr>
            <w:r w:rsidRPr="006552A3">
              <w:rPr>
                <w:noProof/>
                <w:sz w:val="24"/>
                <w:lang w:val="en-US"/>
              </w:rPr>
              <w:t>4.124.390.338.196</w:t>
            </w:r>
          </w:p>
        </w:tc>
        <w:tc>
          <w:tcPr>
            <w:tcW w:w="1985" w:type="dxa"/>
            <w:shd w:val="clear" w:color="auto" w:fill="auto"/>
            <w:vAlign w:val="center"/>
          </w:tcPr>
          <w:p w:rsidR="00FE37D0" w:rsidRPr="006552A3" w:rsidRDefault="007A20B7" w:rsidP="00FE37D0">
            <w:pPr>
              <w:pStyle w:val="ListParagraph"/>
              <w:ind w:left="0"/>
              <w:jc w:val="right"/>
              <w:cnfStyle w:val="000000000000"/>
              <w:rPr>
                <w:noProof/>
                <w:sz w:val="24"/>
                <w:lang w:val="en-US"/>
              </w:rPr>
            </w:pPr>
            <w:r w:rsidRPr="006552A3">
              <w:rPr>
                <w:noProof/>
                <w:sz w:val="24"/>
                <w:lang w:val="en-US"/>
              </w:rPr>
              <w:t>200.545.997.108</w:t>
            </w:r>
          </w:p>
        </w:tc>
        <w:tc>
          <w:tcPr>
            <w:tcW w:w="2126" w:type="dxa"/>
            <w:shd w:val="clear" w:color="auto" w:fill="auto"/>
            <w:vAlign w:val="center"/>
          </w:tcPr>
          <w:p w:rsidR="00FE37D0" w:rsidRPr="006552A3" w:rsidRDefault="007A20B7" w:rsidP="00FE37D0">
            <w:pPr>
              <w:pStyle w:val="ListParagraph"/>
              <w:ind w:left="-69"/>
              <w:jc w:val="right"/>
              <w:cnfStyle w:val="000000000000"/>
              <w:rPr>
                <w:noProof/>
                <w:sz w:val="24"/>
                <w:lang w:val="en-US"/>
              </w:rPr>
            </w:pPr>
            <w:r w:rsidRPr="006552A3">
              <w:rPr>
                <w:noProof/>
                <w:sz w:val="24"/>
                <w:lang w:val="en-US"/>
              </w:rPr>
              <w:t>3.833.388.062.463</w:t>
            </w:r>
          </w:p>
        </w:tc>
        <w:tc>
          <w:tcPr>
            <w:tcW w:w="2126" w:type="dxa"/>
            <w:shd w:val="clear" w:color="auto" w:fill="auto"/>
            <w:vAlign w:val="center"/>
          </w:tcPr>
          <w:p w:rsidR="00FE37D0" w:rsidRPr="006552A3" w:rsidRDefault="007D4F34" w:rsidP="00FE37D0">
            <w:pPr>
              <w:pStyle w:val="ListParagraph"/>
              <w:ind w:left="-69" w:right="-5"/>
              <w:jc w:val="right"/>
              <w:cnfStyle w:val="000000000000"/>
              <w:rPr>
                <w:noProof/>
                <w:sz w:val="24"/>
                <w:lang w:val="en-US"/>
              </w:rPr>
            </w:pPr>
            <w:r>
              <w:rPr>
                <w:noProof/>
                <w:sz w:val="24"/>
                <w:lang w:val="en-US"/>
              </w:rPr>
              <w:t>6.473.455.360.367</w:t>
            </w:r>
          </w:p>
        </w:tc>
        <w:tc>
          <w:tcPr>
            <w:tcW w:w="2126" w:type="dxa"/>
            <w:shd w:val="clear" w:color="auto" w:fill="auto"/>
            <w:vAlign w:val="center"/>
          </w:tcPr>
          <w:p w:rsidR="00FE37D0" w:rsidRPr="006552A3" w:rsidRDefault="007D4F34" w:rsidP="00FE37D0">
            <w:pPr>
              <w:pStyle w:val="ListParagraph"/>
              <w:ind w:left="0" w:right="34"/>
              <w:jc w:val="right"/>
              <w:cnfStyle w:val="000000000000"/>
              <w:rPr>
                <w:noProof/>
                <w:sz w:val="24"/>
                <w:lang w:val="en-US"/>
              </w:rPr>
            </w:pPr>
            <w:r>
              <w:rPr>
                <w:noProof/>
                <w:sz w:val="24"/>
                <w:lang w:val="en-US"/>
              </w:rPr>
              <w:t>2.</w:t>
            </w:r>
            <w:r w:rsidR="008052A7">
              <w:rPr>
                <w:noProof/>
                <w:sz w:val="24"/>
                <w:lang w:val="en-US"/>
              </w:rPr>
              <w:t>105.206.578.083</w:t>
            </w:r>
          </w:p>
        </w:tc>
      </w:tr>
      <w:tr w:rsidR="006552A3" w:rsidRPr="006552A3" w:rsidTr="00E7600D">
        <w:trPr>
          <w:cnfStyle w:val="000000100000"/>
          <w:trHeight w:val="397"/>
        </w:trPr>
        <w:tc>
          <w:tcPr>
            <w:cnfStyle w:val="001000000000"/>
            <w:tcW w:w="1208" w:type="dxa"/>
            <w:shd w:val="clear" w:color="auto" w:fill="auto"/>
            <w:vAlign w:val="center"/>
          </w:tcPr>
          <w:p w:rsidR="00FE37D0" w:rsidRPr="006552A3" w:rsidRDefault="00FE37D0" w:rsidP="00FE37D0">
            <w:pPr>
              <w:jc w:val="center"/>
              <w:rPr>
                <w:color w:val="000000"/>
                <w:sz w:val="24"/>
              </w:rPr>
            </w:pPr>
            <w:r w:rsidRPr="006552A3">
              <w:rPr>
                <w:color w:val="000000"/>
                <w:sz w:val="24"/>
              </w:rPr>
              <w:t>2009</w:t>
            </w:r>
          </w:p>
        </w:tc>
        <w:tc>
          <w:tcPr>
            <w:tcW w:w="2126" w:type="dxa"/>
            <w:shd w:val="clear" w:color="auto" w:fill="auto"/>
            <w:vAlign w:val="center"/>
          </w:tcPr>
          <w:p w:rsidR="00FE37D0" w:rsidRPr="006552A3" w:rsidRDefault="00F010A9" w:rsidP="00F010A9">
            <w:pPr>
              <w:pStyle w:val="ListParagraph"/>
              <w:ind w:left="0"/>
              <w:jc w:val="right"/>
              <w:cnfStyle w:val="000000100000"/>
              <w:rPr>
                <w:noProof/>
                <w:sz w:val="24"/>
                <w:lang w:val="en-US"/>
              </w:rPr>
            </w:pPr>
            <w:r w:rsidRPr="006552A3">
              <w:rPr>
                <w:noProof/>
                <w:sz w:val="24"/>
                <w:lang w:val="en-US"/>
              </w:rPr>
              <w:t>1.382.226.704.162</w:t>
            </w:r>
          </w:p>
        </w:tc>
        <w:tc>
          <w:tcPr>
            <w:tcW w:w="2126" w:type="dxa"/>
            <w:shd w:val="clear" w:color="auto" w:fill="auto"/>
            <w:vAlign w:val="center"/>
          </w:tcPr>
          <w:p w:rsidR="00FE37D0" w:rsidRPr="006552A3" w:rsidRDefault="00F010A9" w:rsidP="00FE37D0">
            <w:pPr>
              <w:pStyle w:val="ListParagraph"/>
              <w:ind w:left="0" w:right="34"/>
              <w:jc w:val="right"/>
              <w:cnfStyle w:val="000000100000"/>
              <w:rPr>
                <w:noProof/>
                <w:sz w:val="24"/>
                <w:lang w:val="en-US"/>
              </w:rPr>
            </w:pPr>
            <w:r w:rsidRPr="006552A3">
              <w:rPr>
                <w:noProof/>
                <w:sz w:val="24"/>
                <w:lang w:val="en-US"/>
              </w:rPr>
              <w:t>3.490.067.516.029</w:t>
            </w:r>
          </w:p>
        </w:tc>
        <w:tc>
          <w:tcPr>
            <w:tcW w:w="1985" w:type="dxa"/>
            <w:shd w:val="clear" w:color="auto" w:fill="auto"/>
            <w:vAlign w:val="center"/>
          </w:tcPr>
          <w:p w:rsidR="00FE37D0" w:rsidRPr="006552A3" w:rsidRDefault="00F010A9" w:rsidP="00FE37D0">
            <w:pPr>
              <w:pStyle w:val="ListParagraph"/>
              <w:ind w:left="0"/>
              <w:jc w:val="right"/>
              <w:cnfStyle w:val="000000100000"/>
              <w:rPr>
                <w:noProof/>
                <w:sz w:val="24"/>
                <w:lang w:val="en-US"/>
              </w:rPr>
            </w:pPr>
            <w:r w:rsidRPr="006552A3">
              <w:rPr>
                <w:noProof/>
                <w:sz w:val="24"/>
                <w:lang w:val="en-US"/>
              </w:rPr>
              <w:t>123.003.295.624</w:t>
            </w:r>
          </w:p>
        </w:tc>
        <w:tc>
          <w:tcPr>
            <w:tcW w:w="2126" w:type="dxa"/>
            <w:shd w:val="clear" w:color="auto" w:fill="auto"/>
            <w:vAlign w:val="center"/>
          </w:tcPr>
          <w:p w:rsidR="00FE37D0" w:rsidRPr="006552A3" w:rsidRDefault="000F3335" w:rsidP="00FE37D0">
            <w:pPr>
              <w:pStyle w:val="ListParagraph"/>
              <w:ind w:left="-69"/>
              <w:jc w:val="right"/>
              <w:cnfStyle w:val="000000100000"/>
              <w:rPr>
                <w:noProof/>
                <w:sz w:val="24"/>
                <w:lang w:val="en-US"/>
              </w:rPr>
            </w:pPr>
            <w:r w:rsidRPr="006552A3">
              <w:rPr>
                <w:noProof/>
                <w:sz w:val="24"/>
                <w:lang w:val="en-US"/>
              </w:rPr>
              <w:t>3.321.273.229.414</w:t>
            </w:r>
          </w:p>
        </w:tc>
        <w:tc>
          <w:tcPr>
            <w:tcW w:w="2126" w:type="dxa"/>
            <w:shd w:val="clear" w:color="auto" w:fill="auto"/>
            <w:vAlign w:val="center"/>
          </w:tcPr>
          <w:p w:rsidR="00FE37D0" w:rsidRPr="006552A3" w:rsidRDefault="007D4F34" w:rsidP="00FE37D0">
            <w:pPr>
              <w:pStyle w:val="ListParagraph"/>
              <w:ind w:left="-69" w:right="-5"/>
              <w:jc w:val="right"/>
              <w:cnfStyle w:val="000000100000"/>
              <w:rPr>
                <w:noProof/>
                <w:sz w:val="24"/>
                <w:lang w:val="en-US"/>
              </w:rPr>
            </w:pPr>
            <w:r>
              <w:rPr>
                <w:noProof/>
                <w:sz w:val="24"/>
                <w:lang w:val="en-US"/>
              </w:rPr>
              <w:t>3.843.107.763.985</w:t>
            </w:r>
          </w:p>
        </w:tc>
        <w:tc>
          <w:tcPr>
            <w:tcW w:w="2126" w:type="dxa"/>
            <w:shd w:val="clear" w:color="auto" w:fill="auto"/>
            <w:vAlign w:val="center"/>
          </w:tcPr>
          <w:p w:rsidR="00FE37D0" w:rsidRPr="006552A3" w:rsidRDefault="007D4F34" w:rsidP="00FE37D0">
            <w:pPr>
              <w:pStyle w:val="ListParagraph"/>
              <w:ind w:left="0" w:right="34"/>
              <w:jc w:val="right"/>
              <w:cnfStyle w:val="000000100000"/>
              <w:rPr>
                <w:noProof/>
                <w:sz w:val="24"/>
                <w:lang w:val="en-US"/>
              </w:rPr>
            </w:pPr>
            <w:r>
              <w:rPr>
                <w:noProof/>
                <w:sz w:val="24"/>
                <w:lang w:val="en-US"/>
              </w:rPr>
              <w:t>651.477.440.829</w:t>
            </w:r>
          </w:p>
        </w:tc>
      </w:tr>
      <w:tr w:rsidR="00FE37D0" w:rsidRPr="006552A3" w:rsidTr="00E7600D">
        <w:trPr>
          <w:trHeight w:val="397"/>
        </w:trPr>
        <w:tc>
          <w:tcPr>
            <w:cnfStyle w:val="001000000000"/>
            <w:tcW w:w="1208" w:type="dxa"/>
            <w:shd w:val="clear" w:color="auto" w:fill="auto"/>
            <w:vAlign w:val="center"/>
          </w:tcPr>
          <w:p w:rsidR="00FE37D0" w:rsidRPr="006552A3" w:rsidRDefault="00FE37D0" w:rsidP="00FE37D0">
            <w:pPr>
              <w:jc w:val="center"/>
              <w:rPr>
                <w:color w:val="000000"/>
                <w:sz w:val="24"/>
              </w:rPr>
            </w:pPr>
            <w:r w:rsidRPr="006552A3">
              <w:rPr>
                <w:color w:val="000000"/>
                <w:sz w:val="24"/>
              </w:rPr>
              <w:t>2010</w:t>
            </w:r>
          </w:p>
        </w:tc>
        <w:tc>
          <w:tcPr>
            <w:tcW w:w="2126" w:type="dxa"/>
            <w:shd w:val="clear" w:color="auto" w:fill="auto"/>
            <w:vAlign w:val="center"/>
          </w:tcPr>
          <w:p w:rsidR="00FE37D0" w:rsidRPr="006552A3" w:rsidRDefault="000F3335" w:rsidP="00FE37D0">
            <w:pPr>
              <w:pStyle w:val="ListParagraph"/>
              <w:ind w:left="0"/>
              <w:jc w:val="right"/>
              <w:cnfStyle w:val="000000000000"/>
              <w:rPr>
                <w:noProof/>
                <w:sz w:val="24"/>
                <w:lang w:val="en-US"/>
              </w:rPr>
            </w:pPr>
            <w:r w:rsidRPr="006552A3">
              <w:rPr>
                <w:noProof/>
                <w:sz w:val="24"/>
                <w:lang w:val="en-US"/>
              </w:rPr>
              <w:t>2.001.751.086.762</w:t>
            </w:r>
          </w:p>
        </w:tc>
        <w:tc>
          <w:tcPr>
            <w:tcW w:w="2126" w:type="dxa"/>
            <w:shd w:val="clear" w:color="auto" w:fill="auto"/>
            <w:vAlign w:val="center"/>
          </w:tcPr>
          <w:p w:rsidR="00FE37D0" w:rsidRPr="006552A3" w:rsidRDefault="000F3335" w:rsidP="00FE37D0">
            <w:pPr>
              <w:pStyle w:val="ListParagraph"/>
              <w:ind w:left="0" w:right="34"/>
              <w:jc w:val="right"/>
              <w:cnfStyle w:val="000000000000"/>
              <w:rPr>
                <w:noProof/>
                <w:sz w:val="24"/>
                <w:lang w:val="en-US"/>
              </w:rPr>
            </w:pPr>
            <w:r w:rsidRPr="006552A3">
              <w:rPr>
                <w:noProof/>
                <w:sz w:val="24"/>
                <w:lang w:val="en-US"/>
              </w:rPr>
              <w:t>3.942.599.901.120</w:t>
            </w:r>
          </w:p>
        </w:tc>
        <w:tc>
          <w:tcPr>
            <w:tcW w:w="1985" w:type="dxa"/>
            <w:shd w:val="clear" w:color="auto" w:fill="auto"/>
            <w:vAlign w:val="center"/>
          </w:tcPr>
          <w:p w:rsidR="00FE37D0" w:rsidRPr="006552A3" w:rsidRDefault="000F3335" w:rsidP="00FE37D0">
            <w:pPr>
              <w:pStyle w:val="ListParagraph"/>
              <w:ind w:left="0"/>
              <w:jc w:val="right"/>
              <w:cnfStyle w:val="000000000000"/>
              <w:rPr>
                <w:noProof/>
                <w:sz w:val="24"/>
                <w:lang w:val="en-US"/>
              </w:rPr>
            </w:pPr>
            <w:r w:rsidRPr="006552A3">
              <w:rPr>
                <w:noProof/>
                <w:sz w:val="24"/>
                <w:lang w:val="en-US"/>
              </w:rPr>
              <w:t>215.385.851.099</w:t>
            </w:r>
          </w:p>
        </w:tc>
        <w:tc>
          <w:tcPr>
            <w:tcW w:w="2126" w:type="dxa"/>
            <w:shd w:val="clear" w:color="auto" w:fill="auto"/>
            <w:vAlign w:val="center"/>
          </w:tcPr>
          <w:p w:rsidR="00FE37D0" w:rsidRPr="006552A3" w:rsidRDefault="000F3335" w:rsidP="00FE37D0">
            <w:pPr>
              <w:pStyle w:val="ListParagraph"/>
              <w:ind w:left="-69"/>
              <w:jc w:val="right"/>
              <w:cnfStyle w:val="000000000000"/>
              <w:rPr>
                <w:noProof/>
                <w:sz w:val="24"/>
                <w:lang w:val="en-US"/>
              </w:rPr>
            </w:pPr>
            <w:r w:rsidRPr="006552A3">
              <w:rPr>
                <w:noProof/>
                <w:sz w:val="24"/>
                <w:lang w:val="en-US"/>
              </w:rPr>
              <w:t>3.706.604.921.008</w:t>
            </w:r>
          </w:p>
        </w:tc>
        <w:tc>
          <w:tcPr>
            <w:tcW w:w="2126" w:type="dxa"/>
            <w:shd w:val="clear" w:color="auto" w:fill="auto"/>
            <w:vAlign w:val="center"/>
          </w:tcPr>
          <w:p w:rsidR="00FE37D0" w:rsidRPr="006552A3" w:rsidRDefault="000F3335" w:rsidP="00FE37D0">
            <w:pPr>
              <w:pStyle w:val="ListParagraph"/>
              <w:ind w:left="-69" w:right="-5"/>
              <w:jc w:val="right"/>
              <w:cnfStyle w:val="000000000000"/>
              <w:rPr>
                <w:noProof/>
                <w:sz w:val="24"/>
                <w:lang w:val="en-US"/>
              </w:rPr>
            </w:pPr>
            <w:r w:rsidRPr="006552A3">
              <w:rPr>
                <w:noProof/>
                <w:sz w:val="24"/>
                <w:lang w:val="en-US"/>
              </w:rPr>
              <w:t>3.812.681.096.87</w:t>
            </w:r>
            <w:r w:rsidR="007D4F34">
              <w:rPr>
                <w:noProof/>
                <w:sz w:val="24"/>
                <w:lang w:val="en-US"/>
              </w:rPr>
              <w:t>3</w:t>
            </w:r>
          </w:p>
        </w:tc>
        <w:tc>
          <w:tcPr>
            <w:tcW w:w="2126" w:type="dxa"/>
            <w:shd w:val="clear" w:color="auto" w:fill="auto"/>
            <w:vAlign w:val="center"/>
          </w:tcPr>
          <w:p w:rsidR="00FE37D0" w:rsidRPr="006552A3" w:rsidRDefault="000F3335" w:rsidP="00FE37D0">
            <w:pPr>
              <w:pStyle w:val="ListParagraph"/>
              <w:ind w:left="0" w:right="34"/>
              <w:jc w:val="right"/>
              <w:cnfStyle w:val="000000000000"/>
              <w:rPr>
                <w:noProof/>
                <w:sz w:val="24"/>
                <w:lang w:val="en-US"/>
              </w:rPr>
            </w:pPr>
            <w:r w:rsidRPr="006552A3">
              <w:rPr>
                <w:noProof/>
                <w:sz w:val="24"/>
                <w:lang w:val="en-US"/>
              </w:rPr>
              <w:t>1.234.721.440.71</w:t>
            </w:r>
            <w:r w:rsidR="008052A7">
              <w:rPr>
                <w:noProof/>
                <w:sz w:val="24"/>
                <w:lang w:val="en-US"/>
              </w:rPr>
              <w:t>3</w:t>
            </w:r>
          </w:p>
        </w:tc>
      </w:tr>
      <w:tr w:rsidR="006552A3" w:rsidRPr="006552A3" w:rsidTr="00E7600D">
        <w:trPr>
          <w:cnfStyle w:val="000000100000"/>
          <w:trHeight w:val="397"/>
        </w:trPr>
        <w:tc>
          <w:tcPr>
            <w:cnfStyle w:val="001000000000"/>
            <w:tcW w:w="1208" w:type="dxa"/>
            <w:shd w:val="clear" w:color="auto" w:fill="auto"/>
            <w:vAlign w:val="center"/>
          </w:tcPr>
          <w:p w:rsidR="00FE37D0" w:rsidRPr="006552A3" w:rsidRDefault="00FE37D0" w:rsidP="00FE37D0">
            <w:pPr>
              <w:jc w:val="center"/>
              <w:rPr>
                <w:color w:val="000000"/>
                <w:sz w:val="24"/>
              </w:rPr>
            </w:pPr>
            <w:r w:rsidRPr="006552A3">
              <w:rPr>
                <w:color w:val="000000"/>
                <w:sz w:val="24"/>
              </w:rPr>
              <w:t>2011</w:t>
            </w:r>
          </w:p>
        </w:tc>
        <w:tc>
          <w:tcPr>
            <w:tcW w:w="2126" w:type="dxa"/>
            <w:shd w:val="clear" w:color="auto" w:fill="auto"/>
            <w:vAlign w:val="center"/>
          </w:tcPr>
          <w:p w:rsidR="00FE37D0" w:rsidRPr="006552A3" w:rsidRDefault="000F3335" w:rsidP="00FE37D0">
            <w:pPr>
              <w:pStyle w:val="ListParagraph"/>
              <w:ind w:left="0"/>
              <w:jc w:val="right"/>
              <w:cnfStyle w:val="000000100000"/>
              <w:rPr>
                <w:noProof/>
                <w:sz w:val="24"/>
                <w:lang w:val="en-US"/>
              </w:rPr>
            </w:pPr>
            <w:r w:rsidRPr="006552A3">
              <w:rPr>
                <w:noProof/>
                <w:sz w:val="24"/>
                <w:lang w:val="en-US"/>
              </w:rPr>
              <w:t>1.895.806.135.454</w:t>
            </w:r>
          </w:p>
        </w:tc>
        <w:tc>
          <w:tcPr>
            <w:tcW w:w="2126" w:type="dxa"/>
            <w:shd w:val="clear" w:color="auto" w:fill="auto"/>
            <w:vAlign w:val="center"/>
          </w:tcPr>
          <w:p w:rsidR="00FE37D0" w:rsidRPr="006552A3" w:rsidRDefault="000F3335" w:rsidP="00FE37D0">
            <w:pPr>
              <w:pStyle w:val="ListParagraph"/>
              <w:ind w:left="0" w:right="34"/>
              <w:jc w:val="right"/>
              <w:cnfStyle w:val="000000100000"/>
              <w:rPr>
                <w:noProof/>
                <w:sz w:val="24"/>
                <w:lang w:val="en-US"/>
              </w:rPr>
            </w:pPr>
            <w:r w:rsidRPr="006552A3">
              <w:rPr>
                <w:noProof/>
                <w:sz w:val="24"/>
                <w:lang w:val="en-US"/>
              </w:rPr>
              <w:t>3.724.719.808.600</w:t>
            </w:r>
          </w:p>
        </w:tc>
        <w:tc>
          <w:tcPr>
            <w:tcW w:w="1985" w:type="dxa"/>
            <w:shd w:val="clear" w:color="auto" w:fill="auto"/>
            <w:vAlign w:val="center"/>
          </w:tcPr>
          <w:p w:rsidR="00FE37D0" w:rsidRPr="006552A3" w:rsidRDefault="000F3335" w:rsidP="00FE37D0">
            <w:pPr>
              <w:pStyle w:val="ListParagraph"/>
              <w:ind w:left="0"/>
              <w:jc w:val="right"/>
              <w:cnfStyle w:val="000000100000"/>
              <w:rPr>
                <w:noProof/>
                <w:sz w:val="24"/>
                <w:lang w:val="en-US"/>
              </w:rPr>
            </w:pPr>
            <w:r w:rsidRPr="006552A3">
              <w:rPr>
                <w:noProof/>
                <w:sz w:val="24"/>
                <w:lang w:val="en-US"/>
              </w:rPr>
              <w:t>248.437.695.436</w:t>
            </w:r>
          </w:p>
        </w:tc>
        <w:tc>
          <w:tcPr>
            <w:tcW w:w="2126" w:type="dxa"/>
            <w:shd w:val="clear" w:color="auto" w:fill="auto"/>
            <w:vAlign w:val="center"/>
          </w:tcPr>
          <w:p w:rsidR="00FE37D0" w:rsidRPr="006552A3" w:rsidRDefault="000F3335" w:rsidP="00FE37D0">
            <w:pPr>
              <w:pStyle w:val="ListParagraph"/>
              <w:ind w:left="-69"/>
              <w:jc w:val="right"/>
              <w:cnfStyle w:val="000000100000"/>
              <w:rPr>
                <w:noProof/>
                <w:sz w:val="24"/>
                <w:lang w:val="en-US"/>
              </w:rPr>
            </w:pPr>
            <w:r w:rsidRPr="006552A3">
              <w:rPr>
                <w:noProof/>
                <w:sz w:val="24"/>
                <w:lang w:val="en-US"/>
              </w:rPr>
              <w:t>3.439.500.993.692</w:t>
            </w:r>
          </w:p>
        </w:tc>
        <w:tc>
          <w:tcPr>
            <w:tcW w:w="2126" w:type="dxa"/>
            <w:shd w:val="clear" w:color="auto" w:fill="auto"/>
            <w:vAlign w:val="center"/>
          </w:tcPr>
          <w:p w:rsidR="00FE37D0" w:rsidRPr="006552A3" w:rsidRDefault="000F3335" w:rsidP="00FE37D0">
            <w:pPr>
              <w:pStyle w:val="ListParagraph"/>
              <w:ind w:left="-69" w:right="-5"/>
              <w:jc w:val="right"/>
              <w:cnfStyle w:val="000000100000"/>
              <w:rPr>
                <w:noProof/>
                <w:sz w:val="24"/>
                <w:lang w:val="en-US"/>
              </w:rPr>
            </w:pPr>
            <w:r w:rsidRPr="006552A3">
              <w:rPr>
                <w:noProof/>
                <w:sz w:val="24"/>
                <w:lang w:val="en-US"/>
              </w:rPr>
              <w:t>4.099.787.010.9</w:t>
            </w:r>
            <w:r w:rsidR="008052A7">
              <w:rPr>
                <w:noProof/>
                <w:sz w:val="24"/>
                <w:lang w:val="en-US"/>
              </w:rPr>
              <w:t>10</w:t>
            </w:r>
          </w:p>
        </w:tc>
        <w:tc>
          <w:tcPr>
            <w:tcW w:w="2126" w:type="dxa"/>
            <w:shd w:val="clear" w:color="auto" w:fill="auto"/>
            <w:vAlign w:val="center"/>
          </w:tcPr>
          <w:p w:rsidR="00FE37D0" w:rsidRPr="006552A3" w:rsidRDefault="000F3335" w:rsidP="00FE37D0">
            <w:pPr>
              <w:pStyle w:val="ListParagraph"/>
              <w:ind w:left="0" w:right="34"/>
              <w:jc w:val="right"/>
              <w:cnfStyle w:val="000000100000"/>
              <w:rPr>
                <w:noProof/>
                <w:sz w:val="24"/>
                <w:lang w:val="en-US"/>
              </w:rPr>
            </w:pPr>
            <w:r w:rsidRPr="006552A3">
              <w:rPr>
                <w:noProof/>
                <w:sz w:val="24"/>
                <w:lang w:val="en-US"/>
              </w:rPr>
              <w:t>1.231.908.801.15</w:t>
            </w:r>
            <w:r w:rsidR="008052A7">
              <w:rPr>
                <w:noProof/>
                <w:sz w:val="24"/>
                <w:lang w:val="en-US"/>
              </w:rPr>
              <w:t>3</w:t>
            </w:r>
          </w:p>
        </w:tc>
      </w:tr>
    </w:tbl>
    <w:p w:rsidR="006552A3" w:rsidRPr="006552A3" w:rsidRDefault="00060617" w:rsidP="00FE37D0">
      <w:pPr>
        <w:spacing w:after="0" w:line="480" w:lineRule="auto"/>
        <w:jc w:val="both"/>
        <w:rPr>
          <w:i/>
          <w:sz w:val="24"/>
        </w:rPr>
      </w:pPr>
      <w:r w:rsidRPr="00060617">
        <w:rPr>
          <w:i/>
          <w:noProof/>
          <w:sz w:val="22"/>
        </w:rPr>
        <w:pict>
          <v:rect id="_x0000_s1032" style="position:absolute;left:0;text-align:left;margin-left:649.7pt;margin-top:201.2pt;width:50.5pt;height:52.65pt;z-index:251664384;mso-position-horizontal-relative:text;mso-position-vertical-relative:text" strokecolor="white [3212]">
            <v:textbox style="layout-flow:vertical">
              <w:txbxContent>
                <w:p w:rsidR="009921FC" w:rsidRPr="009921FC" w:rsidRDefault="009921FC" w:rsidP="009921FC">
                  <w:pPr>
                    <w:jc w:val="center"/>
                    <w:rPr>
                      <w:sz w:val="24"/>
                    </w:rPr>
                  </w:pPr>
                  <w:r w:rsidRPr="009921FC">
                    <w:rPr>
                      <w:sz w:val="24"/>
                    </w:rPr>
                    <w:t>5</w:t>
                  </w:r>
                </w:p>
              </w:txbxContent>
            </v:textbox>
          </v:rect>
        </w:pict>
      </w:r>
      <w:r w:rsidR="00FE37D0" w:rsidRPr="006552A3">
        <w:rPr>
          <w:i/>
          <w:sz w:val="22"/>
          <w:lang w:val="id-ID"/>
        </w:rPr>
        <w:t>Sumber : Laporan Keuangan PT. Aneka Tambang (Persero), Tbk</w:t>
      </w:r>
      <w:r w:rsidR="006552A3">
        <w:rPr>
          <w:i/>
          <w:sz w:val="22"/>
        </w:rPr>
        <w:t xml:space="preserve"> UBP </w:t>
      </w:r>
      <w:proofErr w:type="spellStart"/>
      <w:r w:rsidR="006552A3">
        <w:rPr>
          <w:i/>
          <w:sz w:val="22"/>
        </w:rPr>
        <w:t>Nikel</w:t>
      </w:r>
      <w:proofErr w:type="spellEnd"/>
      <w:r w:rsidR="006552A3">
        <w:rPr>
          <w:i/>
          <w:sz w:val="22"/>
        </w:rPr>
        <w:t xml:space="preserve"> Sulawesi Tenggara</w:t>
      </w:r>
      <w:r w:rsidR="00FE37D0" w:rsidRPr="006552A3">
        <w:rPr>
          <w:i/>
          <w:sz w:val="22"/>
          <w:lang w:val="id-ID"/>
        </w:rPr>
        <w:t xml:space="preserve"> (diolah, 2012)</w:t>
      </w:r>
      <w:r w:rsidR="006552A3">
        <w:rPr>
          <w:i/>
          <w:sz w:val="22"/>
        </w:rPr>
        <w:t>.</w:t>
      </w:r>
    </w:p>
    <w:p w:rsidR="006552A3" w:rsidRPr="006552A3" w:rsidRDefault="006552A3" w:rsidP="00FE37D0">
      <w:pPr>
        <w:spacing w:after="0" w:line="480" w:lineRule="auto"/>
        <w:jc w:val="both"/>
        <w:rPr>
          <w:i/>
          <w:sz w:val="24"/>
        </w:rPr>
        <w:sectPr w:rsidR="006552A3" w:rsidRPr="006552A3" w:rsidSect="006552A3">
          <w:pgSz w:w="16840" w:h="12191" w:orient="landscape" w:code="1"/>
          <w:pgMar w:top="1701" w:right="1701" w:bottom="2268" w:left="2268" w:header="720" w:footer="720" w:gutter="0"/>
          <w:cols w:space="720"/>
          <w:docGrid w:linePitch="360"/>
        </w:sectPr>
      </w:pPr>
    </w:p>
    <w:p w:rsidR="00FE37D0" w:rsidRPr="006552A3" w:rsidRDefault="00060617" w:rsidP="00FE37D0">
      <w:pPr>
        <w:pStyle w:val="ListParagraph"/>
        <w:spacing w:after="0" w:line="480" w:lineRule="auto"/>
        <w:ind w:left="0" w:firstLine="567"/>
        <w:jc w:val="both"/>
        <w:rPr>
          <w:sz w:val="24"/>
          <w:lang w:val="id-ID"/>
        </w:rPr>
      </w:pPr>
      <w:r w:rsidRPr="00060617">
        <w:rPr>
          <w:noProof/>
          <w:sz w:val="24"/>
          <w:lang w:val="id-ID" w:eastAsia="id-ID"/>
        </w:rPr>
        <w:lastRenderedPageBreak/>
        <w:pict>
          <v:rect id="_x0000_s1026" style="position:absolute;left:0;text-align:left;margin-left:625.75pt;margin-top:126.05pt;width:35.15pt;height:36pt;z-index:251660288" strokecolor="white"/>
        </w:pict>
      </w:r>
      <w:r w:rsidR="00FE37D0" w:rsidRPr="006552A3">
        <w:rPr>
          <w:sz w:val="24"/>
          <w:lang w:val="id-ID"/>
        </w:rPr>
        <w:t xml:space="preserve">Gambaran ini memang belum menggambarkan kinerja keuangan </w:t>
      </w:r>
      <w:r w:rsidR="00FE37D0" w:rsidRPr="006552A3">
        <w:rPr>
          <w:noProof/>
          <w:sz w:val="24"/>
          <w:lang w:val="id-ID"/>
        </w:rPr>
        <w:t>PT. Aneka Tambang (Persero), Tbk</w:t>
      </w:r>
      <w:r w:rsidR="00FE37D0" w:rsidRPr="006552A3">
        <w:rPr>
          <w:sz w:val="24"/>
          <w:lang w:val="id-ID"/>
        </w:rPr>
        <w:t xml:space="preserve"> </w:t>
      </w:r>
      <w:r w:rsidR="00C80615">
        <w:rPr>
          <w:sz w:val="24"/>
        </w:rPr>
        <w:t xml:space="preserve">UBP </w:t>
      </w:r>
      <w:proofErr w:type="spellStart"/>
      <w:r w:rsidR="00C80615">
        <w:rPr>
          <w:sz w:val="24"/>
        </w:rPr>
        <w:t>Nikel</w:t>
      </w:r>
      <w:proofErr w:type="spellEnd"/>
      <w:r w:rsidR="00C80615">
        <w:rPr>
          <w:sz w:val="24"/>
        </w:rPr>
        <w:t xml:space="preserve"> Sulawesi Tenggara </w:t>
      </w:r>
      <w:r w:rsidR="00FE37D0" w:rsidRPr="006552A3">
        <w:rPr>
          <w:sz w:val="24"/>
          <w:lang w:val="id-ID"/>
        </w:rPr>
        <w:t xml:space="preserve">secara keseluruhan, oleh sebab itu perlu dilakukan analisis lebih lanjut dari sisi keuangannya, terutama berdasarkan infomasi yang diperoleh dari laporan keuangan </w:t>
      </w:r>
      <w:r w:rsidR="00FE37D0" w:rsidRPr="006552A3">
        <w:rPr>
          <w:noProof/>
          <w:sz w:val="24"/>
          <w:lang w:val="id-ID"/>
        </w:rPr>
        <w:t>PT. Aneka Tambang (Persero), Tbk</w:t>
      </w:r>
      <w:r w:rsidR="00C80615">
        <w:rPr>
          <w:sz w:val="24"/>
        </w:rPr>
        <w:t xml:space="preserve"> UBP </w:t>
      </w:r>
      <w:proofErr w:type="spellStart"/>
      <w:r w:rsidR="00C80615">
        <w:rPr>
          <w:sz w:val="24"/>
        </w:rPr>
        <w:t>Nikel</w:t>
      </w:r>
      <w:proofErr w:type="spellEnd"/>
      <w:r w:rsidR="00C80615">
        <w:rPr>
          <w:sz w:val="24"/>
        </w:rPr>
        <w:t xml:space="preserve"> Sulawesi Tenggara.</w:t>
      </w:r>
      <w:r w:rsidR="00FE37D0" w:rsidRPr="006552A3">
        <w:rPr>
          <w:sz w:val="24"/>
          <w:lang w:val="id-ID"/>
        </w:rPr>
        <w:t xml:space="preserve"> Laporan keuangan ini merupakan data paling umum yang tersedia untuk tujuan tersebut, yang memuat hasil investasi operasi dan pembiayaan </w:t>
      </w:r>
      <w:r w:rsidR="00FE37D0" w:rsidRPr="006552A3">
        <w:rPr>
          <w:noProof/>
          <w:sz w:val="24"/>
          <w:lang w:val="id-ID"/>
        </w:rPr>
        <w:t>PT. Aneka Tambang (Persero), Tbk</w:t>
      </w:r>
      <w:r w:rsidR="00C80615">
        <w:rPr>
          <w:noProof/>
          <w:sz w:val="24"/>
        </w:rPr>
        <w:t xml:space="preserve"> UBP Nikel Sulawesi Tenggara</w:t>
      </w:r>
      <w:r w:rsidR="00FE37D0" w:rsidRPr="006552A3">
        <w:rPr>
          <w:noProof/>
          <w:sz w:val="24"/>
          <w:lang w:val="id-ID"/>
        </w:rPr>
        <w:t xml:space="preserve"> </w:t>
      </w:r>
      <w:r w:rsidR="00FE37D0" w:rsidRPr="006552A3">
        <w:rPr>
          <w:sz w:val="24"/>
          <w:lang w:val="id-ID"/>
        </w:rPr>
        <w:t>dalam tiap periode sehingga mampu menghasilkan laba.</w:t>
      </w:r>
    </w:p>
    <w:p w:rsidR="00FE37D0" w:rsidRPr="00775D9B" w:rsidRDefault="00FE37D0" w:rsidP="00775D9B">
      <w:pPr>
        <w:pStyle w:val="ListParagraph"/>
        <w:spacing w:after="0" w:line="480" w:lineRule="auto"/>
        <w:ind w:left="0" w:firstLine="567"/>
        <w:jc w:val="both"/>
        <w:rPr>
          <w:noProof/>
          <w:sz w:val="24"/>
        </w:rPr>
      </w:pPr>
      <w:r w:rsidRPr="006552A3">
        <w:rPr>
          <w:noProof/>
          <w:sz w:val="24"/>
          <w:lang w:val="id-ID"/>
        </w:rPr>
        <w:t>Berdasarkan uraian yang telah disebutkan peneliti tertarik untuk melakukan penelitian mengenai kondisi keuangan PT. Aneka Tambang (Persero), Tbk</w:t>
      </w:r>
      <w:r w:rsidR="00C80615">
        <w:rPr>
          <w:noProof/>
          <w:sz w:val="24"/>
        </w:rPr>
        <w:t xml:space="preserve"> UBP Nikel Sulawesi Tenggara</w:t>
      </w:r>
      <w:r w:rsidRPr="006552A3">
        <w:rPr>
          <w:noProof/>
          <w:sz w:val="24"/>
          <w:lang w:val="id-ID"/>
        </w:rPr>
        <w:t xml:space="preserve"> dan bagaimana kinerja keuangan dimasa depan karena Menteri Badan Usaha Milik Negara Nomor: KEP-100/MBU/2002 mulai berlaku sejak tahun 2002.</w:t>
      </w:r>
      <w:r w:rsidR="00775D9B">
        <w:rPr>
          <w:noProof/>
          <w:sz w:val="24"/>
        </w:rPr>
        <w:t xml:space="preserve"> </w:t>
      </w:r>
    </w:p>
    <w:p w:rsidR="00FE37D0" w:rsidRPr="006552A3" w:rsidRDefault="00FE37D0" w:rsidP="00FE37D0">
      <w:pPr>
        <w:spacing w:after="0" w:line="240" w:lineRule="auto"/>
        <w:ind w:firstLine="567"/>
        <w:jc w:val="both"/>
        <w:rPr>
          <w:sz w:val="24"/>
          <w:lang w:val="id-ID"/>
        </w:rPr>
      </w:pPr>
    </w:p>
    <w:p w:rsidR="00FE37D0" w:rsidRPr="006552A3" w:rsidRDefault="00FE37D0" w:rsidP="00C80615">
      <w:pPr>
        <w:pStyle w:val="Default"/>
        <w:numPr>
          <w:ilvl w:val="0"/>
          <w:numId w:val="3"/>
        </w:numPr>
        <w:spacing w:line="600" w:lineRule="auto"/>
        <w:ind w:left="284" w:hanging="284"/>
        <w:jc w:val="both"/>
        <w:rPr>
          <w:b/>
          <w:noProof/>
          <w:lang w:val="id-ID"/>
        </w:rPr>
      </w:pPr>
      <w:r w:rsidRPr="006552A3">
        <w:rPr>
          <w:b/>
          <w:noProof/>
          <w:lang w:val="id-ID"/>
        </w:rPr>
        <w:t>Rumusan Masalah</w:t>
      </w:r>
    </w:p>
    <w:p w:rsidR="00FE37D0" w:rsidRPr="006552A3" w:rsidRDefault="00FE37D0" w:rsidP="00FE37D0">
      <w:pPr>
        <w:spacing w:after="0" w:line="480" w:lineRule="auto"/>
        <w:ind w:firstLine="567"/>
        <w:jc w:val="both"/>
        <w:rPr>
          <w:noProof/>
          <w:sz w:val="24"/>
          <w:lang w:val="id-ID"/>
        </w:rPr>
      </w:pPr>
      <w:r w:rsidRPr="006552A3">
        <w:rPr>
          <w:noProof/>
          <w:sz w:val="24"/>
          <w:lang w:val="id-ID"/>
        </w:rPr>
        <w:t>Berdasarkan latar belakang maka rumusan masalah dalam peneltian ini adalah :</w:t>
      </w:r>
    </w:p>
    <w:p w:rsidR="00FE37D0" w:rsidRPr="006552A3" w:rsidRDefault="00775D9B" w:rsidP="00FE37D0">
      <w:pPr>
        <w:spacing w:after="0" w:line="480" w:lineRule="auto"/>
        <w:ind w:firstLine="567"/>
        <w:jc w:val="both"/>
        <w:rPr>
          <w:noProof/>
          <w:sz w:val="24"/>
          <w:lang w:val="id-ID"/>
        </w:rPr>
      </w:pPr>
      <w:r>
        <w:rPr>
          <w:noProof/>
          <w:sz w:val="24"/>
        </w:rPr>
        <w:t>Apakah</w:t>
      </w:r>
      <w:r w:rsidR="00FE37D0" w:rsidRPr="006552A3">
        <w:rPr>
          <w:noProof/>
          <w:sz w:val="24"/>
          <w:lang w:val="id-ID"/>
        </w:rPr>
        <w:t xml:space="preserve"> kinerja keuangan pada PT. Aneka Tambang (Persero), Tbk</w:t>
      </w:r>
      <w:r w:rsidR="00C80615">
        <w:rPr>
          <w:noProof/>
          <w:sz w:val="24"/>
        </w:rPr>
        <w:t xml:space="preserve"> UBP Nikel Sulawesi Tenggara</w:t>
      </w:r>
      <w:r>
        <w:rPr>
          <w:noProof/>
          <w:sz w:val="24"/>
        </w:rPr>
        <w:t xml:space="preserve"> dapat dikatakan “SEHAT”</w:t>
      </w:r>
      <w:r w:rsidR="00FE37D0" w:rsidRPr="006552A3">
        <w:rPr>
          <w:noProof/>
          <w:sz w:val="24"/>
          <w:lang w:val="id-ID"/>
        </w:rPr>
        <w:t xml:space="preserve"> berdasarkan Keputusan Menteri Badan Usaha Milik Negara Nomor: KEP-100/MBU/2002 ditinjau dari aspek keuangan selama lima tahun terakhir yaitu dari tahun 2007 sampai dengan tahun 2011?</w:t>
      </w:r>
    </w:p>
    <w:p w:rsidR="00FE37D0" w:rsidRDefault="00FE37D0" w:rsidP="00FE37D0">
      <w:pPr>
        <w:spacing w:after="0" w:line="240" w:lineRule="auto"/>
        <w:ind w:left="426" w:firstLine="708"/>
        <w:jc w:val="both"/>
        <w:rPr>
          <w:noProof/>
          <w:sz w:val="24"/>
        </w:rPr>
      </w:pPr>
    </w:p>
    <w:p w:rsidR="00775D9B" w:rsidRDefault="00775D9B" w:rsidP="00FE37D0">
      <w:pPr>
        <w:spacing w:after="0" w:line="240" w:lineRule="auto"/>
        <w:ind w:left="426" w:firstLine="708"/>
        <w:jc w:val="both"/>
        <w:rPr>
          <w:noProof/>
          <w:sz w:val="24"/>
        </w:rPr>
      </w:pPr>
    </w:p>
    <w:p w:rsidR="00775D9B" w:rsidRDefault="00775D9B" w:rsidP="00FE37D0">
      <w:pPr>
        <w:spacing w:after="0" w:line="240" w:lineRule="auto"/>
        <w:ind w:left="426" w:firstLine="708"/>
        <w:jc w:val="both"/>
        <w:rPr>
          <w:noProof/>
          <w:sz w:val="24"/>
        </w:rPr>
      </w:pPr>
    </w:p>
    <w:p w:rsidR="00775D9B" w:rsidRDefault="00775D9B" w:rsidP="00FE37D0">
      <w:pPr>
        <w:spacing w:after="0" w:line="240" w:lineRule="auto"/>
        <w:ind w:left="426" w:firstLine="708"/>
        <w:jc w:val="both"/>
        <w:rPr>
          <w:noProof/>
          <w:sz w:val="24"/>
        </w:rPr>
      </w:pPr>
    </w:p>
    <w:p w:rsidR="00775D9B" w:rsidRPr="00775D9B" w:rsidRDefault="00775D9B" w:rsidP="00FE37D0">
      <w:pPr>
        <w:spacing w:after="0" w:line="240" w:lineRule="auto"/>
        <w:ind w:left="426" w:firstLine="708"/>
        <w:jc w:val="both"/>
        <w:rPr>
          <w:noProof/>
          <w:sz w:val="24"/>
        </w:rPr>
      </w:pPr>
    </w:p>
    <w:p w:rsidR="00FE37D0" w:rsidRPr="006552A3" w:rsidRDefault="00FE37D0" w:rsidP="00FE37D0">
      <w:pPr>
        <w:pStyle w:val="Default"/>
        <w:numPr>
          <w:ilvl w:val="0"/>
          <w:numId w:val="3"/>
        </w:numPr>
        <w:spacing w:line="480" w:lineRule="auto"/>
        <w:ind w:left="284" w:hanging="283"/>
        <w:jc w:val="both"/>
        <w:rPr>
          <w:b/>
          <w:noProof/>
          <w:lang w:val="id-ID"/>
        </w:rPr>
      </w:pPr>
      <w:r w:rsidRPr="006552A3">
        <w:rPr>
          <w:b/>
          <w:noProof/>
          <w:lang w:val="id-ID"/>
        </w:rPr>
        <w:lastRenderedPageBreak/>
        <w:t>Tujuan Penelitian</w:t>
      </w:r>
    </w:p>
    <w:p w:rsidR="00FE37D0" w:rsidRPr="006552A3" w:rsidRDefault="00FE37D0" w:rsidP="00FE37D0">
      <w:pPr>
        <w:spacing w:after="0" w:line="480" w:lineRule="auto"/>
        <w:ind w:firstLine="708"/>
        <w:jc w:val="both"/>
        <w:rPr>
          <w:noProof/>
          <w:sz w:val="24"/>
          <w:lang w:val="id-ID"/>
        </w:rPr>
      </w:pPr>
      <w:r w:rsidRPr="006552A3">
        <w:rPr>
          <w:noProof/>
          <w:sz w:val="24"/>
          <w:lang w:val="id-ID"/>
        </w:rPr>
        <w:t>Tujuan penelitian ini adalah untuk mengetahui kinerja keuangan pada PT. Aneka Tambang (Persero), Tbk</w:t>
      </w:r>
      <w:r w:rsidR="00775D9B">
        <w:rPr>
          <w:noProof/>
          <w:sz w:val="24"/>
        </w:rPr>
        <w:t xml:space="preserve"> UBP Nikel Sulawesi Tenggara</w:t>
      </w:r>
      <w:r w:rsidRPr="006552A3">
        <w:rPr>
          <w:noProof/>
          <w:sz w:val="24"/>
          <w:lang w:val="id-ID"/>
        </w:rPr>
        <w:t xml:space="preserve"> </w:t>
      </w:r>
      <w:r w:rsidR="00775D9B">
        <w:rPr>
          <w:noProof/>
          <w:sz w:val="24"/>
          <w:lang w:val="id-ID"/>
        </w:rPr>
        <w:t>selama lima tahun terakhir</w:t>
      </w:r>
      <w:r w:rsidRPr="006552A3">
        <w:rPr>
          <w:noProof/>
          <w:sz w:val="24"/>
          <w:lang w:val="id-ID"/>
        </w:rPr>
        <w:t xml:space="preserve"> berdasarkan Keputusan Menteri Badan Usaha Milik Negara Nomor: KEP-100/MBU/2002 ditinjau dari aspek keuangan.</w:t>
      </w:r>
    </w:p>
    <w:p w:rsidR="00FE37D0" w:rsidRPr="006552A3" w:rsidRDefault="00FE37D0" w:rsidP="00FE37D0">
      <w:pPr>
        <w:spacing w:after="0" w:line="240" w:lineRule="auto"/>
        <w:ind w:firstLine="708"/>
        <w:jc w:val="both"/>
        <w:rPr>
          <w:noProof/>
          <w:sz w:val="24"/>
          <w:lang w:val="id-ID"/>
        </w:rPr>
      </w:pPr>
    </w:p>
    <w:p w:rsidR="00FE37D0" w:rsidRPr="006552A3" w:rsidRDefault="00FE37D0" w:rsidP="00FE37D0">
      <w:pPr>
        <w:pStyle w:val="Default"/>
        <w:numPr>
          <w:ilvl w:val="0"/>
          <w:numId w:val="3"/>
        </w:numPr>
        <w:spacing w:line="480" w:lineRule="auto"/>
        <w:ind w:left="284" w:hanging="283"/>
        <w:jc w:val="both"/>
        <w:rPr>
          <w:b/>
          <w:noProof/>
          <w:lang w:val="id-ID"/>
        </w:rPr>
      </w:pPr>
      <w:r w:rsidRPr="006552A3">
        <w:rPr>
          <w:b/>
          <w:noProof/>
          <w:lang w:val="id-ID"/>
        </w:rPr>
        <w:t>Manfaat Penelitian</w:t>
      </w:r>
    </w:p>
    <w:p w:rsidR="00FE37D0" w:rsidRPr="006552A3" w:rsidRDefault="00FE37D0" w:rsidP="00FE37D0">
      <w:pPr>
        <w:pStyle w:val="Default"/>
        <w:spacing w:line="480" w:lineRule="auto"/>
        <w:ind w:firstLine="709"/>
        <w:jc w:val="both"/>
        <w:rPr>
          <w:b/>
          <w:noProof/>
          <w:lang w:val="id-ID"/>
        </w:rPr>
      </w:pPr>
      <w:r w:rsidRPr="006552A3">
        <w:rPr>
          <w:bCs/>
          <w:lang w:val="id-ID"/>
        </w:rPr>
        <w:t>Adapun manfaat hasil penelitian yang diharapkan penulis dari penelitian  ini adalah:</w:t>
      </w:r>
    </w:p>
    <w:p w:rsidR="00FE37D0" w:rsidRPr="006552A3" w:rsidRDefault="00FE37D0" w:rsidP="00FE37D0">
      <w:pPr>
        <w:pStyle w:val="ListParagraph"/>
        <w:numPr>
          <w:ilvl w:val="1"/>
          <w:numId w:val="3"/>
        </w:numPr>
        <w:spacing w:after="0" w:line="480" w:lineRule="auto"/>
        <w:ind w:left="567" w:hanging="284"/>
        <w:jc w:val="both"/>
        <w:rPr>
          <w:noProof/>
          <w:sz w:val="24"/>
          <w:lang w:val="id-ID"/>
        </w:rPr>
      </w:pPr>
      <w:r w:rsidRPr="006552A3">
        <w:rPr>
          <w:noProof/>
          <w:sz w:val="24"/>
          <w:lang w:val="id-ID"/>
        </w:rPr>
        <w:t>Bagi perusahaan (PT. Aneka Tambang (Persero), Tbk</w:t>
      </w:r>
      <w:r w:rsidR="00775D9B">
        <w:rPr>
          <w:noProof/>
          <w:sz w:val="24"/>
        </w:rPr>
        <w:t xml:space="preserve"> UBP Nikel Sulawesi Tenggara</w:t>
      </w:r>
      <w:r w:rsidRPr="006552A3">
        <w:rPr>
          <w:noProof/>
          <w:sz w:val="24"/>
          <w:lang w:val="id-ID"/>
        </w:rPr>
        <w:t>), diharapkan dapat memberi masukan kepada perusahaan tentang kinerja keuangan berdasarkan Keputusan Menteri Badan Usaha Milik Negara Nomor: KEP-100/MBU/2002 ditinjau dari aspek keuangan.</w:t>
      </w:r>
    </w:p>
    <w:p w:rsidR="00FE37D0" w:rsidRPr="006552A3" w:rsidRDefault="00FE37D0" w:rsidP="00FE37D0">
      <w:pPr>
        <w:pStyle w:val="ListParagraph"/>
        <w:numPr>
          <w:ilvl w:val="1"/>
          <w:numId w:val="3"/>
        </w:numPr>
        <w:spacing w:after="0" w:line="480" w:lineRule="auto"/>
        <w:ind w:left="567" w:hanging="284"/>
        <w:jc w:val="both"/>
        <w:rPr>
          <w:sz w:val="24"/>
          <w:lang w:val="id-ID"/>
        </w:rPr>
      </w:pPr>
      <w:r w:rsidRPr="006552A3">
        <w:rPr>
          <w:noProof/>
          <w:sz w:val="24"/>
          <w:lang w:val="id-ID"/>
        </w:rPr>
        <w:t>Bagi akademisi, diharapkan dapat menambah wawasan dan pengetahuan mengenai bagaimana cara menilai tingkat kesehatan BUMN dengan menggunakan Keputusan Menteri Badan Usaha Milik Negara Nomor: KEP-100/MBU/2002 ditinjau dari aspek keuangan dan sebagai bahan referensi untuk penelitian yang berikutnya dimasa yang akan datang.</w:t>
      </w:r>
    </w:p>
    <w:p w:rsidR="00F46218" w:rsidRPr="006552A3" w:rsidRDefault="00FE37D0" w:rsidP="00FE37D0">
      <w:pPr>
        <w:pStyle w:val="ListParagraph"/>
        <w:numPr>
          <w:ilvl w:val="1"/>
          <w:numId w:val="3"/>
        </w:numPr>
        <w:spacing w:after="0" w:line="480" w:lineRule="auto"/>
        <w:ind w:left="567" w:hanging="284"/>
        <w:jc w:val="both"/>
        <w:rPr>
          <w:sz w:val="24"/>
          <w:lang w:val="id-ID"/>
        </w:rPr>
      </w:pPr>
      <w:r w:rsidRPr="006552A3">
        <w:rPr>
          <w:noProof/>
          <w:sz w:val="24"/>
          <w:lang w:val="id-ID"/>
        </w:rPr>
        <w:t>Bagi pemerintah atau pihak lain yang berwenang diharapkan dapat memberi masukan untuk pengambilan keputusan dan membuat kebijakan yang akan diambil mengenai PT. Aneka Tambang (Persero), Tbk</w:t>
      </w:r>
      <w:r w:rsidR="00775D9B">
        <w:rPr>
          <w:noProof/>
          <w:sz w:val="24"/>
        </w:rPr>
        <w:t xml:space="preserve"> UBP Nikel Sulawesi Tenggara</w:t>
      </w:r>
      <w:r w:rsidRPr="006552A3">
        <w:rPr>
          <w:noProof/>
          <w:sz w:val="24"/>
          <w:lang w:val="id-ID"/>
        </w:rPr>
        <w:t xml:space="preserve"> sehingga kinerja perusahaan dapat semakin meningkat yang dampaknya akan dirasakan masyarakat.</w:t>
      </w:r>
    </w:p>
    <w:sectPr w:rsidR="00F46218" w:rsidRPr="006552A3" w:rsidSect="00214DE2">
      <w:pgSz w:w="12191" w:h="16840" w:code="1"/>
      <w:pgMar w:top="2268" w:right="1701" w:bottom="1701" w:left="2268" w:header="850" w:footer="85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E2" w:rsidRDefault="00214DE2" w:rsidP="00214DE2">
      <w:pPr>
        <w:spacing w:after="0" w:line="240" w:lineRule="auto"/>
      </w:pPr>
      <w:r>
        <w:separator/>
      </w:r>
    </w:p>
  </w:endnote>
  <w:endnote w:type="continuationSeparator" w:id="1">
    <w:p w:rsidR="00214DE2" w:rsidRDefault="00214DE2" w:rsidP="00214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E2" w:rsidRDefault="00214DE2" w:rsidP="00214DE2">
      <w:pPr>
        <w:spacing w:after="0" w:line="240" w:lineRule="auto"/>
      </w:pPr>
      <w:r>
        <w:separator/>
      </w:r>
    </w:p>
  </w:footnote>
  <w:footnote w:type="continuationSeparator" w:id="1">
    <w:p w:rsidR="00214DE2" w:rsidRDefault="00214DE2" w:rsidP="00214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299117"/>
      <w:docPartObj>
        <w:docPartGallery w:val="Page Numbers (Top of Page)"/>
        <w:docPartUnique/>
      </w:docPartObj>
    </w:sdtPr>
    <w:sdtContent>
      <w:p w:rsidR="00214DE2" w:rsidRPr="00214DE2" w:rsidRDefault="00060617" w:rsidP="00214DE2">
        <w:pPr>
          <w:pStyle w:val="Header"/>
          <w:tabs>
            <w:tab w:val="left" w:pos="7371"/>
          </w:tabs>
          <w:jc w:val="right"/>
          <w:rPr>
            <w:sz w:val="24"/>
          </w:rPr>
        </w:pPr>
        <w:r w:rsidRPr="00214DE2">
          <w:rPr>
            <w:sz w:val="24"/>
          </w:rPr>
          <w:fldChar w:fldCharType="begin"/>
        </w:r>
        <w:r w:rsidR="00214DE2" w:rsidRPr="00214DE2">
          <w:rPr>
            <w:sz w:val="24"/>
          </w:rPr>
          <w:instrText xml:space="preserve"> PAGE   \* MERGEFORMAT </w:instrText>
        </w:r>
        <w:r w:rsidRPr="00214DE2">
          <w:rPr>
            <w:sz w:val="24"/>
          </w:rPr>
          <w:fldChar w:fldCharType="separate"/>
        </w:r>
        <w:r w:rsidR="004D4BB7">
          <w:rPr>
            <w:noProof/>
            <w:sz w:val="24"/>
          </w:rPr>
          <w:t>7</w:t>
        </w:r>
        <w:r w:rsidRPr="00214DE2">
          <w:rPr>
            <w:sz w:val="24"/>
          </w:rPr>
          <w:fldChar w:fldCharType="end"/>
        </w:r>
      </w:p>
    </w:sdtContent>
  </w:sdt>
  <w:p w:rsidR="00214DE2" w:rsidRPr="00214DE2" w:rsidRDefault="00214DE2">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7EF"/>
    <w:multiLevelType w:val="hybridMultilevel"/>
    <w:tmpl w:val="8F24C06C"/>
    <w:lvl w:ilvl="0" w:tplc="2D300392">
      <w:start w:val="1"/>
      <w:numFmt w:val="upperLetter"/>
      <w:lvlText w:val="%1."/>
      <w:lvlJc w:val="left"/>
      <w:pPr>
        <w:ind w:left="720" w:hanging="360"/>
      </w:pPr>
      <w:rPr>
        <w:rFonts w:hint="default"/>
        <w:b/>
      </w:rPr>
    </w:lvl>
    <w:lvl w:ilvl="1" w:tplc="93D6F20E">
      <w:start w:val="1"/>
      <w:numFmt w:val="lowerLetter"/>
      <w:lvlText w:val="%2."/>
      <w:lvlJc w:val="left"/>
      <w:pPr>
        <w:ind w:left="1440" w:hanging="360"/>
      </w:pPr>
      <w:rPr>
        <w:b/>
        <w:i w:val="0"/>
        <w:sz w:val="24"/>
        <w:szCs w:val="24"/>
      </w:rPr>
    </w:lvl>
    <w:lvl w:ilvl="2" w:tplc="09DE0F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B579F"/>
    <w:multiLevelType w:val="hybridMultilevel"/>
    <w:tmpl w:val="365EFB50"/>
    <w:lvl w:ilvl="0" w:tplc="B4BE5A94">
      <w:start w:val="1"/>
      <w:numFmt w:val="decimal"/>
      <w:lvlText w:val="%1."/>
      <w:lvlJc w:val="left"/>
      <w:pPr>
        <w:ind w:left="786" w:hanging="360"/>
      </w:pPr>
      <w:rPr>
        <w:rFonts w:hint="default"/>
        <w:b/>
        <w:sz w:val="24"/>
        <w:szCs w:val="24"/>
      </w:rPr>
    </w:lvl>
    <w:lvl w:ilvl="1" w:tplc="04210019">
      <w:start w:val="1"/>
      <w:numFmt w:val="lowerLetter"/>
      <w:lvlText w:val="%2."/>
      <w:lvlJc w:val="left"/>
      <w:pPr>
        <w:ind w:left="1506" w:hanging="360"/>
      </w:pPr>
    </w:lvl>
    <w:lvl w:ilvl="2" w:tplc="599E919C">
      <w:start w:val="6"/>
      <w:numFmt w:val="upperLetter"/>
      <w:lvlText w:val="%3."/>
      <w:lvlJc w:val="left"/>
      <w:pPr>
        <w:ind w:left="2406" w:hanging="360"/>
      </w:pPr>
      <w:rPr>
        <w:rFonts w:hint="default"/>
        <w:b/>
      </w:rPr>
    </w:lvl>
    <w:lvl w:ilvl="3" w:tplc="DCFEA674">
      <w:start w:val="3"/>
      <w:numFmt w:val="decimal"/>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500D44BF"/>
    <w:multiLevelType w:val="hybridMultilevel"/>
    <w:tmpl w:val="F1DC25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E37D0"/>
    <w:rsid w:val="000557DA"/>
    <w:rsid w:val="00060617"/>
    <w:rsid w:val="000F3335"/>
    <w:rsid w:val="001460EA"/>
    <w:rsid w:val="00214DE2"/>
    <w:rsid w:val="00257B59"/>
    <w:rsid w:val="002C693F"/>
    <w:rsid w:val="003454B2"/>
    <w:rsid w:val="0040158B"/>
    <w:rsid w:val="004D4BB7"/>
    <w:rsid w:val="005025FD"/>
    <w:rsid w:val="00584F64"/>
    <w:rsid w:val="005F74B8"/>
    <w:rsid w:val="006146A1"/>
    <w:rsid w:val="006552A3"/>
    <w:rsid w:val="006B1013"/>
    <w:rsid w:val="00775D9B"/>
    <w:rsid w:val="007A20B7"/>
    <w:rsid w:val="007D4F34"/>
    <w:rsid w:val="008052A7"/>
    <w:rsid w:val="00983392"/>
    <w:rsid w:val="009921FC"/>
    <w:rsid w:val="009A5C0B"/>
    <w:rsid w:val="009B4EF6"/>
    <w:rsid w:val="009B7968"/>
    <w:rsid w:val="00AB3B52"/>
    <w:rsid w:val="00AF6ED2"/>
    <w:rsid w:val="00B51DBB"/>
    <w:rsid w:val="00BB4E41"/>
    <w:rsid w:val="00C262FF"/>
    <w:rsid w:val="00C80615"/>
    <w:rsid w:val="00C84F12"/>
    <w:rsid w:val="00D35A01"/>
    <w:rsid w:val="00DA6A93"/>
    <w:rsid w:val="00DF77D7"/>
    <w:rsid w:val="00E4694F"/>
    <w:rsid w:val="00E7600D"/>
    <w:rsid w:val="00E80B4A"/>
    <w:rsid w:val="00E94B45"/>
    <w:rsid w:val="00F010A9"/>
    <w:rsid w:val="00F46218"/>
    <w:rsid w:val="00F46C71"/>
    <w:rsid w:val="00FC7174"/>
    <w:rsid w:val="00FE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D0"/>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7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E37D0"/>
    <w:pPr>
      <w:ind w:left="720"/>
      <w:contextualSpacing/>
    </w:pPr>
  </w:style>
  <w:style w:type="table" w:customStyle="1" w:styleId="LightShading1">
    <w:name w:val="Light Shading1"/>
    <w:basedOn w:val="TableNormal"/>
    <w:uiPriority w:val="60"/>
    <w:rsid w:val="00FE37D0"/>
    <w:pPr>
      <w:spacing w:after="0" w:line="240" w:lineRule="auto"/>
    </w:pPr>
    <w:rPr>
      <w:rFonts w:ascii="Times New Roman" w:hAnsi="Times New Roman" w:cs="Times New Roman"/>
      <w:color w:val="000000" w:themeColor="text1" w:themeShade="BF"/>
      <w:sz w:val="28"/>
      <w:szCs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14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DE2"/>
    <w:rPr>
      <w:rFonts w:ascii="Times New Roman" w:eastAsia="Calibri" w:hAnsi="Times New Roman" w:cs="Times New Roman"/>
      <w:sz w:val="28"/>
      <w:szCs w:val="24"/>
    </w:rPr>
  </w:style>
  <w:style w:type="paragraph" w:styleId="Footer">
    <w:name w:val="footer"/>
    <w:basedOn w:val="Normal"/>
    <w:link w:val="FooterChar"/>
    <w:uiPriority w:val="99"/>
    <w:semiHidden/>
    <w:unhideWhenUsed/>
    <w:rsid w:val="00214D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DE2"/>
    <w:rPr>
      <w:rFonts w:ascii="Times New Roman" w:eastAsia="Calibri"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dc:creator>
  <cp:lastModifiedBy>AI-RHIA</cp:lastModifiedBy>
  <cp:revision>17</cp:revision>
  <cp:lastPrinted>2012-11-18T15:35:00Z</cp:lastPrinted>
  <dcterms:created xsi:type="dcterms:W3CDTF">2012-06-15T00:09:00Z</dcterms:created>
  <dcterms:modified xsi:type="dcterms:W3CDTF">2012-11-18T15:44:00Z</dcterms:modified>
</cp:coreProperties>
</file>