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2A" w:rsidRDefault="00636F2A" w:rsidP="00F66727">
      <w:pPr>
        <w:jc w:val="center"/>
        <w:rPr>
          <w:b/>
          <w:sz w:val="32"/>
          <w:szCs w:val="32"/>
        </w:rPr>
      </w:pPr>
      <w:r w:rsidRPr="00636F2A">
        <w:rPr>
          <w:b/>
          <w:sz w:val="32"/>
          <w:szCs w:val="32"/>
        </w:rPr>
        <w:t>PERBEDAAN KESADARAN METAKOGNISI MAHASISWA JURUSAN BIOLOGI ANTARA JALUR SNMPTN, JALUR SBMPTN, DAN JALUR MANDIRI TAHUN AKADEMIK 2015/2016</w:t>
      </w:r>
    </w:p>
    <w:p w:rsidR="005A692B" w:rsidRPr="00636F2A" w:rsidRDefault="005A692B" w:rsidP="00F66727">
      <w:pPr>
        <w:jc w:val="center"/>
        <w:rPr>
          <w:b/>
          <w:sz w:val="32"/>
          <w:szCs w:val="32"/>
        </w:rPr>
      </w:pPr>
    </w:p>
    <w:p w:rsidR="005A692B" w:rsidRPr="00636F2A" w:rsidRDefault="005A692B" w:rsidP="005A692B">
      <w:pPr>
        <w:jc w:val="center"/>
        <w:rPr>
          <w:b/>
          <w:sz w:val="32"/>
          <w:szCs w:val="32"/>
        </w:rPr>
      </w:pPr>
      <w:r>
        <w:rPr>
          <w:b/>
          <w:sz w:val="32"/>
          <w:szCs w:val="32"/>
        </w:rPr>
        <w:t>THE DIFFERENCE OF METACOGNITION AWARENESS OF BIOLOGY DEPARTMENT STUDENTS ON SBMPTN, SNMPTN, AND INDEPENDENT PATHWAYS IN ACADEMIC YEAR 2015/2016</w:t>
      </w:r>
    </w:p>
    <w:p w:rsidR="00440FD7" w:rsidRPr="00F1134C" w:rsidRDefault="00440FD7" w:rsidP="00F66727">
      <w:pPr>
        <w:ind w:firstLine="199"/>
        <w:jc w:val="center"/>
        <w:rPr>
          <w:b/>
          <w:bCs/>
          <w:color w:val="000000"/>
          <w:sz w:val="36"/>
          <w:szCs w:val="48"/>
          <w:lang w:val="en-AU"/>
        </w:rPr>
      </w:pPr>
    </w:p>
    <w:p w:rsidR="00EA1E0D" w:rsidRPr="00F1134C" w:rsidRDefault="00F1134C" w:rsidP="00F66727">
      <w:pPr>
        <w:pStyle w:val="authorname"/>
        <w:jc w:val="center"/>
        <w:rPr>
          <w:rFonts w:ascii="Times New Roman" w:hAnsi="Times New Roman"/>
          <w:color w:val="000000"/>
          <w:sz w:val="22"/>
          <w:szCs w:val="22"/>
          <w:lang w:val="en-AU"/>
        </w:rPr>
      </w:pPr>
      <w:r>
        <w:rPr>
          <w:rFonts w:ascii="Times New Roman" w:hAnsi="Times New Roman"/>
          <w:b/>
          <w:color w:val="000000"/>
          <w:sz w:val="22"/>
          <w:szCs w:val="22"/>
          <w:vertAlign w:val="superscript"/>
          <w:lang w:val="en-AU"/>
        </w:rPr>
        <w:t>1</w:t>
      </w:r>
      <w:r w:rsidR="00636F2A">
        <w:rPr>
          <w:rFonts w:ascii="Times New Roman" w:hAnsi="Times New Roman"/>
          <w:b/>
          <w:color w:val="000000"/>
          <w:sz w:val="22"/>
          <w:szCs w:val="22"/>
          <w:lang w:val="en-AU"/>
        </w:rPr>
        <w:t xml:space="preserve">Muhiddin Palennari </w:t>
      </w:r>
      <w:r w:rsidR="00A03368">
        <w:rPr>
          <w:rFonts w:ascii="Times New Roman" w:hAnsi="Times New Roman"/>
          <w:b/>
          <w:color w:val="000000"/>
          <w:sz w:val="22"/>
          <w:szCs w:val="22"/>
          <w:lang w:val="en-AU"/>
        </w:rPr>
        <w:t xml:space="preserve">, </w:t>
      </w:r>
      <w:r w:rsidR="00743C98" w:rsidRPr="00743C98">
        <w:rPr>
          <w:rFonts w:ascii="Times New Roman" w:hAnsi="Times New Roman"/>
          <w:b/>
          <w:color w:val="000000"/>
          <w:sz w:val="22"/>
          <w:szCs w:val="22"/>
          <w:vertAlign w:val="superscript"/>
          <w:lang w:val="en-AU"/>
        </w:rPr>
        <w:t>2</w:t>
      </w:r>
      <w:r w:rsidR="00636F2A">
        <w:rPr>
          <w:rFonts w:ascii="Times New Roman" w:hAnsi="Times New Roman"/>
          <w:b/>
          <w:color w:val="000000"/>
          <w:sz w:val="22"/>
          <w:szCs w:val="22"/>
          <w:lang w:val="en-AU"/>
        </w:rPr>
        <w:t>Hamka Lodang</w:t>
      </w:r>
    </w:p>
    <w:p w:rsidR="00440FD7" w:rsidRPr="00F1134C" w:rsidRDefault="00A03368" w:rsidP="00F66727">
      <w:pPr>
        <w:pStyle w:val="authoraffiliation"/>
        <w:jc w:val="center"/>
        <w:rPr>
          <w:rFonts w:ascii="Times New Roman" w:hAnsi="Times New Roman"/>
          <w:color w:val="000000"/>
          <w:sz w:val="18"/>
          <w:szCs w:val="20"/>
          <w:lang w:val="en-AU"/>
        </w:rPr>
      </w:pPr>
      <w:r>
        <w:rPr>
          <w:rFonts w:ascii="Times New Roman" w:hAnsi="Times New Roman"/>
          <w:color w:val="000000"/>
          <w:sz w:val="18"/>
          <w:szCs w:val="20"/>
          <w:vertAlign w:val="superscript"/>
          <w:lang w:val="en-AU"/>
        </w:rPr>
        <w:t>1</w:t>
      </w:r>
      <w:r w:rsidR="00636F2A">
        <w:rPr>
          <w:rFonts w:ascii="Times New Roman" w:hAnsi="Times New Roman"/>
          <w:color w:val="000000"/>
          <w:sz w:val="18"/>
          <w:szCs w:val="20"/>
          <w:vertAlign w:val="superscript"/>
          <w:lang w:val="en-AU"/>
        </w:rPr>
        <w:t>,2</w:t>
      </w:r>
      <w:r w:rsidR="00636F2A">
        <w:rPr>
          <w:rFonts w:ascii="Times New Roman" w:hAnsi="Times New Roman"/>
          <w:color w:val="000000"/>
          <w:sz w:val="18"/>
          <w:szCs w:val="20"/>
          <w:lang w:val="en-AU"/>
        </w:rPr>
        <w:t>Jurusan Biologi Fakultas Matematika  dan Ilmu Pengetahuan Alam, UNM</w:t>
      </w:r>
    </w:p>
    <w:p w:rsidR="00680A58" w:rsidRPr="00F1134C" w:rsidRDefault="007D26CB" w:rsidP="00F66727">
      <w:pPr>
        <w:pStyle w:val="authorname"/>
        <w:jc w:val="center"/>
        <w:rPr>
          <w:rFonts w:ascii="Times New Roman" w:hAnsi="Times New Roman"/>
          <w:color w:val="000000"/>
          <w:sz w:val="18"/>
          <w:szCs w:val="22"/>
          <w:lang w:val="en-AU"/>
        </w:rPr>
      </w:pPr>
      <w:r>
        <w:rPr>
          <w:rFonts w:ascii="Times New Roman" w:hAnsi="Times New Roman"/>
          <w:color w:val="000000"/>
          <w:sz w:val="18"/>
          <w:szCs w:val="22"/>
          <w:lang w:val="en-AU"/>
        </w:rPr>
        <w:t>m</w:t>
      </w:r>
      <w:r w:rsidR="00636F2A">
        <w:rPr>
          <w:rFonts w:ascii="Times New Roman" w:hAnsi="Times New Roman"/>
          <w:color w:val="000000"/>
          <w:sz w:val="18"/>
          <w:szCs w:val="22"/>
          <w:lang w:val="en-AU"/>
        </w:rPr>
        <w:t>uhiddin.p@unm.ac.id</w:t>
      </w:r>
    </w:p>
    <w:p w:rsidR="00440FD7" w:rsidRPr="00F1134C" w:rsidRDefault="00440FD7" w:rsidP="00F66727">
      <w:pPr>
        <w:ind w:firstLine="199"/>
        <w:rPr>
          <w:color w:val="000000"/>
          <w:sz w:val="20"/>
          <w:szCs w:val="20"/>
          <w:lang w:val="en-AU"/>
        </w:rPr>
      </w:pPr>
    </w:p>
    <w:p w:rsidR="00BD4D72" w:rsidRPr="00C509B1" w:rsidRDefault="00C509B1" w:rsidP="00F66727">
      <w:pPr>
        <w:jc w:val="both"/>
        <w:rPr>
          <w:i/>
          <w:color w:val="000000"/>
          <w:sz w:val="20"/>
          <w:szCs w:val="20"/>
          <w:lang w:val="en-AU"/>
        </w:rPr>
      </w:pPr>
      <w:r>
        <w:rPr>
          <w:b/>
          <w:bCs/>
          <w:color w:val="000000"/>
          <w:sz w:val="20"/>
          <w:szCs w:val="20"/>
          <w:lang w:val="en-AU"/>
        </w:rPr>
        <w:t>Abstra</w:t>
      </w:r>
      <w:r w:rsidR="007D26CB">
        <w:rPr>
          <w:b/>
          <w:bCs/>
          <w:color w:val="000000"/>
          <w:sz w:val="20"/>
          <w:szCs w:val="20"/>
          <w:lang w:val="en-AU"/>
        </w:rPr>
        <w:t>k</w:t>
      </w:r>
      <w:r w:rsidR="006C42C6">
        <w:rPr>
          <w:b/>
          <w:bCs/>
          <w:color w:val="000000"/>
          <w:sz w:val="20"/>
          <w:szCs w:val="20"/>
          <w:lang w:val="en-AU"/>
        </w:rPr>
        <w:t xml:space="preserve"> </w:t>
      </w:r>
      <w:r>
        <w:rPr>
          <w:b/>
          <w:bCs/>
          <w:color w:val="000000"/>
          <w:sz w:val="20"/>
          <w:szCs w:val="20"/>
          <w:lang w:val="en-AU"/>
        </w:rPr>
        <w:t>.</w:t>
      </w:r>
      <w:r w:rsidR="00B66F11" w:rsidRPr="00F1134C">
        <w:rPr>
          <w:b/>
          <w:bCs/>
          <w:color w:val="000000"/>
          <w:sz w:val="20"/>
          <w:szCs w:val="20"/>
          <w:lang w:val="en-AU"/>
        </w:rPr>
        <w:t xml:space="preserve"> </w:t>
      </w:r>
      <w:r w:rsidR="005819CF" w:rsidRPr="00C509B1">
        <w:rPr>
          <w:i/>
          <w:sz w:val="22"/>
          <w:szCs w:val="22"/>
        </w:rPr>
        <w:t>Penelitian ini bertujuan untuk mengetahui kesadaran metakognisi mahasiswa Jurusan Biologi j</w:t>
      </w:r>
      <w:r w:rsidR="005819CF" w:rsidRPr="00C509B1">
        <w:rPr>
          <w:i/>
          <w:spacing w:val="-6"/>
          <w:sz w:val="22"/>
          <w:szCs w:val="22"/>
          <w:lang w:val="nb-NO"/>
        </w:rPr>
        <w:t>alur SBMPT, SNPTN  dan jalur mandiri.</w:t>
      </w:r>
      <w:r w:rsidR="005819CF" w:rsidRPr="00C509B1">
        <w:rPr>
          <w:i/>
          <w:sz w:val="22"/>
          <w:szCs w:val="22"/>
          <w:lang w:val="nb-NO"/>
        </w:rPr>
        <w:t xml:space="preserve"> </w:t>
      </w:r>
      <w:r w:rsidR="005819CF" w:rsidRPr="00C509B1">
        <w:rPr>
          <w:i/>
          <w:sz w:val="22"/>
          <w:szCs w:val="22"/>
        </w:rPr>
        <w:t>Populasi dalam penelitian ini adalah seluruh mahasiswa Jurusan Biologi FMIPA UNM tahun akademik 2015/2016. Sampel penelitian ini terdiri atas  tiga kelompok yaitu sampel kelompok jalur SNMPTN, jalur  SBMPTN, dan jalur mandiri yang diambil  dengan cara purposive sampling sejumlah 132 mahasiswa. Data dikumpul dengan menggunakan instrument MAI (</w:t>
      </w:r>
      <w:r w:rsidR="005819CF" w:rsidRPr="00C509B1">
        <w:rPr>
          <w:i/>
          <w:sz w:val="22"/>
          <w:szCs w:val="22"/>
          <w:lang w:val="id-ID"/>
        </w:rPr>
        <w:t>met</w:t>
      </w:r>
      <w:r w:rsidR="005819CF" w:rsidRPr="00C509B1">
        <w:rPr>
          <w:i/>
          <w:sz w:val="22"/>
          <w:szCs w:val="22"/>
        </w:rPr>
        <w:t>a</w:t>
      </w:r>
      <w:r w:rsidR="005819CF" w:rsidRPr="00C509B1">
        <w:rPr>
          <w:i/>
          <w:sz w:val="22"/>
          <w:szCs w:val="22"/>
          <w:lang w:val="id-ID"/>
        </w:rPr>
        <w:t>cognitive awareness inventory</w:t>
      </w:r>
      <w:r w:rsidR="005819CF" w:rsidRPr="00C509B1">
        <w:rPr>
          <w:i/>
          <w:sz w:val="22"/>
          <w:szCs w:val="22"/>
        </w:rPr>
        <w:t>). Data penelitian dianalisis secara kuantitatif dengan persentase dan analisis secara inferensial dengan menggunakan ANOVA, Hasil penelitian menunjukkan bahwa (1) Mahasiswa Jurusan Biologi pada tiga jalur penerimaan memiliki kesadaran metakognisi umumnya berada pada kategori “berkembang baik” dengan persentase secara berturut-turut adalah jalur SBMPTN sebesar 77,50%; jalur Mandiri sebesar 75,00%; dan jalur SNMPTN sebesar 71,74%,; (2) Tidak ada perbedaan kesadaran metakognisi mahasiswa Jurusan Biologi pada jalur SBMPTN, SNMPTN, dan Mandiri.</w:t>
      </w:r>
      <w:r w:rsidR="00B12E42" w:rsidRPr="00C509B1">
        <w:rPr>
          <w:i/>
          <w:color w:val="000000"/>
          <w:sz w:val="20"/>
          <w:szCs w:val="20"/>
          <w:lang w:val="en-AU"/>
        </w:rPr>
        <w:t xml:space="preserve"> </w:t>
      </w:r>
      <w:r w:rsidR="001C2D68" w:rsidRPr="00C509B1">
        <w:rPr>
          <w:i/>
          <w:color w:val="000000"/>
          <w:sz w:val="20"/>
          <w:szCs w:val="20"/>
          <w:lang w:val="en-AU"/>
        </w:rPr>
        <w:t xml:space="preserve"> </w:t>
      </w:r>
    </w:p>
    <w:p w:rsidR="005374DA" w:rsidRPr="00C509B1" w:rsidRDefault="005374DA" w:rsidP="00F66727">
      <w:pPr>
        <w:jc w:val="both"/>
        <w:rPr>
          <w:i/>
          <w:color w:val="000000"/>
          <w:sz w:val="20"/>
          <w:szCs w:val="20"/>
          <w:lang w:val="en-AU"/>
        </w:rPr>
      </w:pPr>
    </w:p>
    <w:p w:rsidR="005374DA" w:rsidRPr="00F1134C" w:rsidRDefault="005374DA" w:rsidP="00F66727">
      <w:pPr>
        <w:jc w:val="both"/>
        <w:rPr>
          <w:i/>
          <w:color w:val="000000"/>
          <w:sz w:val="20"/>
          <w:szCs w:val="20"/>
          <w:lang w:val="en-AU"/>
        </w:rPr>
      </w:pPr>
      <w:r w:rsidRPr="00F1134C">
        <w:rPr>
          <w:b/>
          <w:color w:val="000000"/>
          <w:sz w:val="20"/>
          <w:szCs w:val="20"/>
          <w:lang w:val="en-AU"/>
        </w:rPr>
        <w:t>Kata kunci:</w:t>
      </w:r>
      <w:r w:rsidRPr="00F1134C">
        <w:rPr>
          <w:color w:val="000000"/>
          <w:sz w:val="20"/>
          <w:szCs w:val="20"/>
          <w:lang w:val="en-AU"/>
        </w:rPr>
        <w:t xml:space="preserve"> </w:t>
      </w:r>
      <w:r w:rsidR="00C509B1">
        <w:rPr>
          <w:i/>
          <w:color w:val="000000"/>
          <w:sz w:val="20"/>
          <w:szCs w:val="20"/>
          <w:lang w:val="en-AU"/>
        </w:rPr>
        <w:t>jurusan biologi, kesadaran metakognisi, MAI</w:t>
      </w:r>
    </w:p>
    <w:p w:rsidR="00FC7069" w:rsidRPr="00F1134C" w:rsidRDefault="00FC7069" w:rsidP="00F66727">
      <w:pPr>
        <w:jc w:val="both"/>
        <w:rPr>
          <w:i/>
          <w:color w:val="000000"/>
          <w:sz w:val="20"/>
          <w:szCs w:val="20"/>
          <w:lang w:val="en-AU"/>
        </w:rPr>
      </w:pPr>
    </w:p>
    <w:p w:rsidR="005A692B" w:rsidRDefault="005A692B" w:rsidP="005A692B">
      <w:pPr>
        <w:jc w:val="both"/>
        <w:rPr>
          <w:i/>
          <w:color w:val="000000"/>
          <w:sz w:val="20"/>
          <w:szCs w:val="20"/>
          <w:lang w:val="en-AU"/>
        </w:rPr>
      </w:pPr>
      <w:r>
        <w:rPr>
          <w:b/>
          <w:bCs/>
          <w:color w:val="000000"/>
          <w:sz w:val="20"/>
          <w:szCs w:val="20"/>
          <w:lang w:val="en-AU"/>
        </w:rPr>
        <w:t>Abstract.</w:t>
      </w:r>
      <w:r w:rsidRPr="00B537BE">
        <w:rPr>
          <w:i/>
          <w:color w:val="000000"/>
          <w:sz w:val="20"/>
          <w:szCs w:val="20"/>
          <w:lang w:val="en-AU"/>
        </w:rPr>
        <w:t xml:space="preserve"> This study aims to determine the metacognition awareness of </w:t>
      </w:r>
      <w:r>
        <w:rPr>
          <w:i/>
          <w:color w:val="000000"/>
          <w:sz w:val="20"/>
          <w:szCs w:val="20"/>
          <w:lang w:val="en-AU"/>
        </w:rPr>
        <w:t xml:space="preserve">Biology Department </w:t>
      </w:r>
      <w:r w:rsidRPr="00B537BE">
        <w:rPr>
          <w:i/>
          <w:color w:val="000000"/>
          <w:sz w:val="20"/>
          <w:szCs w:val="20"/>
          <w:lang w:val="en-AU"/>
        </w:rPr>
        <w:t>student</w:t>
      </w:r>
      <w:r>
        <w:rPr>
          <w:i/>
          <w:color w:val="000000"/>
          <w:sz w:val="20"/>
          <w:szCs w:val="20"/>
          <w:lang w:val="en-AU"/>
        </w:rPr>
        <w:t>s on</w:t>
      </w:r>
      <w:r w:rsidRPr="00B537BE">
        <w:rPr>
          <w:i/>
          <w:color w:val="000000"/>
          <w:sz w:val="20"/>
          <w:szCs w:val="20"/>
          <w:lang w:val="en-AU"/>
        </w:rPr>
        <w:t xml:space="preserve"> SBMPT</w:t>
      </w:r>
      <w:r>
        <w:rPr>
          <w:i/>
          <w:color w:val="000000"/>
          <w:sz w:val="20"/>
          <w:szCs w:val="20"/>
          <w:lang w:val="en-AU"/>
        </w:rPr>
        <w:t>N</w:t>
      </w:r>
      <w:r w:rsidRPr="00B537BE">
        <w:rPr>
          <w:i/>
          <w:color w:val="000000"/>
          <w:sz w:val="20"/>
          <w:szCs w:val="20"/>
          <w:lang w:val="en-AU"/>
        </w:rPr>
        <w:t>,</w:t>
      </w:r>
      <w:r>
        <w:rPr>
          <w:i/>
          <w:color w:val="000000"/>
          <w:sz w:val="20"/>
          <w:szCs w:val="20"/>
          <w:lang w:val="en-AU"/>
        </w:rPr>
        <w:t xml:space="preserve"> SNMPTN and independent pathways.</w:t>
      </w:r>
      <w:r w:rsidRPr="00B537BE">
        <w:rPr>
          <w:i/>
          <w:color w:val="000000"/>
          <w:sz w:val="20"/>
          <w:szCs w:val="20"/>
          <w:lang w:val="en-AU"/>
        </w:rPr>
        <w:t xml:space="preserve"> Population in this research is all student of Biology Department </w:t>
      </w:r>
      <w:r>
        <w:rPr>
          <w:i/>
          <w:color w:val="000000"/>
          <w:sz w:val="20"/>
          <w:szCs w:val="20"/>
          <w:lang w:val="en-AU"/>
        </w:rPr>
        <w:t xml:space="preserve">Mathematics and Natural Science Faculty, Universitas Negeri Makassar in </w:t>
      </w:r>
      <w:r w:rsidRPr="00B537BE">
        <w:rPr>
          <w:i/>
          <w:color w:val="000000"/>
          <w:sz w:val="20"/>
          <w:szCs w:val="20"/>
          <w:lang w:val="en-AU"/>
        </w:rPr>
        <w:t>academic year 2015/2016. The sample of this study consists of three groups, namely the sample g</w:t>
      </w:r>
      <w:r>
        <w:rPr>
          <w:i/>
          <w:color w:val="000000"/>
          <w:sz w:val="20"/>
          <w:szCs w:val="20"/>
          <w:lang w:val="en-AU"/>
        </w:rPr>
        <w:t>roup of SNMPTN way, SBMPTN way, and independent way taken by purposive sampling as much as</w:t>
      </w:r>
      <w:r w:rsidRPr="00B537BE">
        <w:rPr>
          <w:i/>
          <w:color w:val="000000"/>
          <w:sz w:val="20"/>
          <w:szCs w:val="20"/>
          <w:lang w:val="en-AU"/>
        </w:rPr>
        <w:t xml:space="preserve"> 132 students. Data were collected using MAI (metacognitive awareness inventory) i</w:t>
      </w:r>
      <w:r>
        <w:rPr>
          <w:i/>
          <w:color w:val="000000"/>
          <w:sz w:val="20"/>
          <w:szCs w:val="20"/>
          <w:lang w:val="en-AU"/>
        </w:rPr>
        <w:t>nstrument. The research data were</w:t>
      </w:r>
      <w:r w:rsidRPr="00B537BE">
        <w:rPr>
          <w:i/>
          <w:color w:val="000000"/>
          <w:sz w:val="20"/>
          <w:szCs w:val="20"/>
          <w:lang w:val="en-AU"/>
        </w:rPr>
        <w:t xml:space="preserve"> analyzed quantitatively with percen</w:t>
      </w:r>
      <w:r>
        <w:rPr>
          <w:i/>
          <w:color w:val="000000"/>
          <w:sz w:val="20"/>
          <w:szCs w:val="20"/>
          <w:lang w:val="en-AU"/>
        </w:rPr>
        <w:t>tage and analyzed</w:t>
      </w:r>
      <w:r w:rsidRPr="00B537BE">
        <w:rPr>
          <w:i/>
          <w:color w:val="000000"/>
          <w:sz w:val="20"/>
          <w:szCs w:val="20"/>
          <w:lang w:val="en-AU"/>
        </w:rPr>
        <w:t xml:space="preserve"> inferentially by using ANOVA. The result showed that (1) </w:t>
      </w:r>
      <w:r>
        <w:rPr>
          <w:i/>
          <w:color w:val="000000"/>
          <w:sz w:val="20"/>
          <w:szCs w:val="20"/>
          <w:lang w:val="en-AU"/>
        </w:rPr>
        <w:t>S</w:t>
      </w:r>
      <w:r w:rsidRPr="00B537BE">
        <w:rPr>
          <w:i/>
          <w:color w:val="000000"/>
          <w:sz w:val="20"/>
          <w:szCs w:val="20"/>
          <w:lang w:val="en-AU"/>
        </w:rPr>
        <w:t>tudent</w:t>
      </w:r>
      <w:r>
        <w:rPr>
          <w:i/>
          <w:color w:val="000000"/>
          <w:sz w:val="20"/>
          <w:szCs w:val="20"/>
          <w:lang w:val="en-AU"/>
        </w:rPr>
        <w:t>s of</w:t>
      </w:r>
      <w:r w:rsidRPr="00B537BE">
        <w:rPr>
          <w:i/>
          <w:color w:val="000000"/>
          <w:sz w:val="20"/>
          <w:szCs w:val="20"/>
          <w:lang w:val="en-AU"/>
        </w:rPr>
        <w:t xml:space="preserve"> Biology Department on three acceptance </w:t>
      </w:r>
      <w:r>
        <w:rPr>
          <w:i/>
          <w:color w:val="000000"/>
          <w:sz w:val="20"/>
          <w:szCs w:val="20"/>
          <w:lang w:val="en-AU"/>
        </w:rPr>
        <w:t>pathways has</w:t>
      </w:r>
      <w:r w:rsidRPr="00B537BE">
        <w:rPr>
          <w:i/>
          <w:color w:val="000000"/>
          <w:sz w:val="20"/>
          <w:szCs w:val="20"/>
          <w:lang w:val="en-AU"/>
        </w:rPr>
        <w:t xml:space="preserve"> metacognition awareness generally are in the category of "</w:t>
      </w:r>
      <w:r>
        <w:rPr>
          <w:i/>
          <w:color w:val="000000"/>
          <w:sz w:val="20"/>
          <w:szCs w:val="20"/>
          <w:lang w:val="en-AU"/>
        </w:rPr>
        <w:t xml:space="preserve">improve properly" with the percentage </w:t>
      </w:r>
      <w:r w:rsidRPr="00B537BE">
        <w:rPr>
          <w:i/>
          <w:color w:val="000000"/>
          <w:sz w:val="20"/>
          <w:szCs w:val="20"/>
          <w:lang w:val="en-AU"/>
        </w:rPr>
        <w:t>succession</w:t>
      </w:r>
      <w:r>
        <w:rPr>
          <w:i/>
          <w:color w:val="000000"/>
          <w:sz w:val="20"/>
          <w:szCs w:val="20"/>
          <w:lang w:val="en-AU"/>
        </w:rPr>
        <w:t>ly:</w:t>
      </w:r>
      <w:r w:rsidRPr="00B537BE">
        <w:rPr>
          <w:i/>
          <w:color w:val="000000"/>
          <w:sz w:val="20"/>
          <w:szCs w:val="20"/>
          <w:lang w:val="en-AU"/>
        </w:rPr>
        <w:t xml:space="preserve"> SBMPTN </w:t>
      </w:r>
      <w:r>
        <w:rPr>
          <w:i/>
          <w:color w:val="000000"/>
          <w:sz w:val="20"/>
          <w:szCs w:val="20"/>
          <w:lang w:val="en-AU"/>
        </w:rPr>
        <w:t>way is 77.50%; Independent way is 75.00%; and SNMPTN way is</w:t>
      </w:r>
      <w:r w:rsidRPr="00B537BE">
        <w:rPr>
          <w:i/>
          <w:color w:val="000000"/>
          <w:sz w:val="20"/>
          <w:szCs w:val="20"/>
          <w:lang w:val="en-AU"/>
        </w:rPr>
        <w:t xml:space="preserve"> 71.74%; (2) There is no difference of metacognition awareness of Biology Department students on SBMPTN, SNMPTN, and </w:t>
      </w:r>
      <w:r>
        <w:rPr>
          <w:i/>
          <w:color w:val="000000"/>
          <w:sz w:val="20"/>
          <w:szCs w:val="20"/>
          <w:lang w:val="en-AU"/>
        </w:rPr>
        <w:t>Independent pathways.</w:t>
      </w:r>
    </w:p>
    <w:p w:rsidR="00FC7069" w:rsidRPr="00F1134C" w:rsidRDefault="00FC7069" w:rsidP="00F66727">
      <w:pPr>
        <w:jc w:val="both"/>
        <w:rPr>
          <w:color w:val="000000"/>
          <w:sz w:val="20"/>
          <w:szCs w:val="20"/>
          <w:lang w:val="en-AU"/>
        </w:rPr>
      </w:pPr>
    </w:p>
    <w:p w:rsidR="005A692B" w:rsidRPr="00F1134C" w:rsidRDefault="00A60BA2" w:rsidP="005A692B">
      <w:pPr>
        <w:jc w:val="both"/>
        <w:rPr>
          <w:i/>
          <w:color w:val="000000"/>
          <w:sz w:val="20"/>
          <w:szCs w:val="20"/>
          <w:lang w:val="en-AU"/>
        </w:rPr>
      </w:pPr>
      <w:r w:rsidRPr="00F1134C">
        <w:rPr>
          <w:b/>
          <w:color w:val="000000"/>
          <w:sz w:val="20"/>
          <w:szCs w:val="20"/>
          <w:lang w:val="en-AU"/>
        </w:rPr>
        <w:t xml:space="preserve">Key words: </w:t>
      </w:r>
      <w:r w:rsidR="005A692B">
        <w:rPr>
          <w:i/>
          <w:color w:val="000000"/>
          <w:sz w:val="20"/>
          <w:szCs w:val="20"/>
          <w:lang w:val="en-AU"/>
        </w:rPr>
        <w:t>biology department, metacognition awareness, MAI</w:t>
      </w:r>
    </w:p>
    <w:p w:rsidR="00FC7069" w:rsidRPr="00F1134C" w:rsidRDefault="001C2D68" w:rsidP="00F66727">
      <w:pPr>
        <w:jc w:val="both"/>
        <w:rPr>
          <w:color w:val="000000"/>
          <w:sz w:val="20"/>
          <w:szCs w:val="20"/>
          <w:lang w:val="en-AU"/>
        </w:rPr>
      </w:pPr>
      <w:r w:rsidRPr="00F1134C">
        <w:rPr>
          <w:i/>
          <w:color w:val="000000"/>
          <w:sz w:val="20"/>
          <w:szCs w:val="20"/>
          <w:lang w:val="en-AU"/>
        </w:rPr>
        <w:t xml:space="preserve"> </w:t>
      </w:r>
    </w:p>
    <w:p w:rsidR="00BD4D72" w:rsidRPr="00F1134C" w:rsidRDefault="00BD4D72" w:rsidP="00F66727">
      <w:pPr>
        <w:ind w:firstLine="199"/>
        <w:jc w:val="center"/>
        <w:rPr>
          <w:color w:val="000000"/>
          <w:sz w:val="20"/>
          <w:szCs w:val="20"/>
          <w:lang w:val="en-AU"/>
        </w:rPr>
      </w:pPr>
    </w:p>
    <w:p w:rsidR="00FC7069" w:rsidRPr="00F1134C" w:rsidRDefault="00FC7069" w:rsidP="00F66727">
      <w:pPr>
        <w:ind w:firstLine="199"/>
        <w:jc w:val="center"/>
        <w:rPr>
          <w:color w:val="000000"/>
          <w:sz w:val="20"/>
          <w:szCs w:val="20"/>
          <w:lang w:val="en-AU"/>
        </w:rPr>
      </w:pPr>
    </w:p>
    <w:p w:rsidR="00440FD7" w:rsidRPr="00F1134C" w:rsidRDefault="00440FD7" w:rsidP="00F66727">
      <w:pPr>
        <w:rPr>
          <w:lang w:val="en-AU"/>
        </w:rPr>
        <w:sectPr w:rsidR="00440FD7" w:rsidRPr="00F1134C" w:rsidSect="00A03368">
          <w:headerReference w:type="even" r:id="rId7"/>
          <w:headerReference w:type="default" r:id="rId8"/>
          <w:footerReference w:type="even" r:id="rId9"/>
          <w:footerReference w:type="default" r:id="rId10"/>
          <w:footnotePr>
            <w:pos w:val="beneathText"/>
          </w:footnotePr>
          <w:pgSz w:w="11905" w:h="16837"/>
          <w:pgMar w:top="1134" w:right="851" w:bottom="1281" w:left="851" w:header="720" w:footer="720" w:gutter="0"/>
          <w:pgNumType w:start="1"/>
          <w:cols w:space="720"/>
          <w:docGrid w:linePitch="360"/>
        </w:sectPr>
      </w:pPr>
    </w:p>
    <w:p w:rsidR="00440FD7" w:rsidRPr="002249FD" w:rsidRDefault="00440FD7" w:rsidP="00F66727">
      <w:pPr>
        <w:autoSpaceDE w:val="0"/>
        <w:rPr>
          <w:b/>
          <w:color w:val="000000"/>
          <w:sz w:val="20"/>
          <w:szCs w:val="20"/>
          <w:lang w:val="en-AU"/>
        </w:rPr>
      </w:pPr>
      <w:r w:rsidRPr="002249FD">
        <w:rPr>
          <w:b/>
          <w:color w:val="000000"/>
          <w:sz w:val="20"/>
          <w:szCs w:val="20"/>
          <w:lang w:val="en-AU"/>
        </w:rPr>
        <w:lastRenderedPageBreak/>
        <w:t xml:space="preserve">I. </w:t>
      </w:r>
      <w:r w:rsidR="000E0895" w:rsidRPr="002249FD">
        <w:rPr>
          <w:b/>
          <w:color w:val="000000"/>
          <w:sz w:val="20"/>
          <w:szCs w:val="20"/>
          <w:lang w:val="en-AU"/>
        </w:rPr>
        <w:t>PEN</w:t>
      </w:r>
      <w:r w:rsidR="009306DD" w:rsidRPr="002249FD">
        <w:rPr>
          <w:b/>
          <w:color w:val="000000"/>
          <w:sz w:val="20"/>
          <w:szCs w:val="20"/>
          <w:lang w:val="en-AU"/>
        </w:rPr>
        <w:t>DAHULUAN</w:t>
      </w:r>
      <w:r w:rsidRPr="002249FD">
        <w:rPr>
          <w:b/>
          <w:color w:val="000000"/>
          <w:sz w:val="20"/>
          <w:szCs w:val="20"/>
          <w:lang w:val="en-AU"/>
        </w:rPr>
        <w:t xml:space="preserve"> </w:t>
      </w:r>
    </w:p>
    <w:p w:rsidR="00717740" w:rsidRPr="002249FD" w:rsidRDefault="00717740" w:rsidP="00F66727">
      <w:pPr>
        <w:pStyle w:val="Title"/>
        <w:spacing w:line="240" w:lineRule="auto"/>
        <w:ind w:firstLine="720"/>
        <w:jc w:val="both"/>
        <w:rPr>
          <w:b w:val="0"/>
          <w:sz w:val="20"/>
          <w:szCs w:val="20"/>
        </w:rPr>
      </w:pPr>
      <w:r w:rsidRPr="002249FD">
        <w:rPr>
          <w:b w:val="0"/>
          <w:color w:val="000000"/>
          <w:sz w:val="20"/>
          <w:szCs w:val="20"/>
          <w:lang w:val="nl-BE"/>
        </w:rPr>
        <w:t xml:space="preserve">Jurusan  Biologi memiliki dua program studi, yaitu Program Studi Pendidikan Biologi dan Program Studi Biologi.  Kedua Program Studi tersebut dimulai sejak tahun akademik 1997/1998. </w:t>
      </w:r>
      <w:r w:rsidRPr="002249FD">
        <w:rPr>
          <w:b w:val="0"/>
          <w:sz w:val="20"/>
          <w:szCs w:val="20"/>
        </w:rPr>
        <w:t xml:space="preserve">Sistem penerimaan dan seleksi calon mahasiswa di UNM termasuk  Jurusan Biologi ditempuh melalui tiga jalur, yaitu melalui Jalur Seleksi Bersama Masuk Perguruan Tinggi Negeri (SBMPTN), Jalur Seleksi Nasional Masuk Perguruan Tinggi Negeri (SNMPTN)  dan Jalur Mandiri.  </w:t>
      </w:r>
    </w:p>
    <w:p w:rsidR="00717740" w:rsidRPr="002249FD" w:rsidRDefault="00717740" w:rsidP="00F66727">
      <w:pPr>
        <w:ind w:firstLine="720"/>
        <w:jc w:val="both"/>
        <w:rPr>
          <w:sz w:val="20"/>
          <w:szCs w:val="20"/>
        </w:rPr>
      </w:pPr>
      <w:r w:rsidRPr="002249FD">
        <w:rPr>
          <w:sz w:val="20"/>
          <w:szCs w:val="20"/>
        </w:rPr>
        <w:t xml:space="preserve">Mahasiswa  jalur  SNMPTN, SBMPTN, dan jalur Mandiri sudah memiliki kesadaran metakognisi. Hal ini </w:t>
      </w:r>
      <w:r w:rsidRPr="002249FD">
        <w:rPr>
          <w:sz w:val="20"/>
          <w:szCs w:val="20"/>
        </w:rPr>
        <w:lastRenderedPageBreak/>
        <w:t xml:space="preserve">disebabkan karena mereka sudah memiliki kemampuan mengelola diri dan mengelola cara belajrnya selama berada di SMA  dan bahkan  sudah punya pengalaman setelah menempuh kuliah. </w:t>
      </w:r>
    </w:p>
    <w:p w:rsidR="00717740" w:rsidRPr="002249FD" w:rsidRDefault="00717740" w:rsidP="00F66727">
      <w:pPr>
        <w:ind w:firstLine="720"/>
        <w:jc w:val="both"/>
        <w:rPr>
          <w:sz w:val="20"/>
          <w:szCs w:val="20"/>
        </w:rPr>
      </w:pPr>
      <w:r w:rsidRPr="002249FD">
        <w:rPr>
          <w:sz w:val="20"/>
          <w:szCs w:val="20"/>
        </w:rPr>
        <w:t>Metakognisi (</w:t>
      </w:r>
      <w:r w:rsidRPr="002249FD">
        <w:rPr>
          <w:i/>
          <w:iCs/>
          <w:sz w:val="20"/>
          <w:szCs w:val="20"/>
        </w:rPr>
        <w:t>metacognition)</w:t>
      </w:r>
      <w:r w:rsidRPr="002249FD">
        <w:rPr>
          <w:sz w:val="20"/>
          <w:szCs w:val="20"/>
        </w:rPr>
        <w:t xml:space="preserve"> merupakan suatu istilah yang diperkenalkan oleh Flavell pada tahun 1976 </w:t>
      </w:r>
      <w:r w:rsidRPr="002249FD">
        <w:rPr>
          <w:rFonts w:eastAsia="Arial Unicode MS"/>
          <w:color w:val="000000"/>
          <w:sz w:val="20"/>
          <w:szCs w:val="20"/>
        </w:rPr>
        <w:t xml:space="preserve">dan </w:t>
      </w:r>
      <w:r w:rsidRPr="002249FD">
        <w:rPr>
          <w:bCs/>
          <w:iCs/>
          <w:sz w:val="20"/>
          <w:szCs w:val="20"/>
        </w:rPr>
        <w:t>menimbulkan</w:t>
      </w:r>
      <w:r w:rsidRPr="002249FD">
        <w:rPr>
          <w:rFonts w:eastAsia="Arial Unicode MS"/>
          <w:color w:val="000000"/>
          <w:sz w:val="20"/>
          <w:szCs w:val="20"/>
        </w:rPr>
        <w:t xml:space="preserve"> banyak definisi yang berbeda.  Pengertian metakognisi pada umumnya memberikan penekanan pada kesadaran berpikir seseorang tentang proses berpikirnya sendiri. </w:t>
      </w:r>
      <w:r w:rsidRPr="002249FD">
        <w:rPr>
          <w:sz w:val="20"/>
          <w:szCs w:val="20"/>
        </w:rPr>
        <w:t xml:space="preserve">Menurut Livingston (1997) dan Flavell (1999) bahwa metakognisi adalah </w:t>
      </w:r>
      <w:r w:rsidRPr="002249FD">
        <w:rPr>
          <w:i/>
          <w:sz w:val="20"/>
          <w:szCs w:val="20"/>
        </w:rPr>
        <w:t>thinking about thinking</w:t>
      </w:r>
      <w:r w:rsidRPr="002249FD">
        <w:rPr>
          <w:sz w:val="20"/>
          <w:szCs w:val="20"/>
        </w:rPr>
        <w:t xml:space="preserve"> atau berpikir tentang berpikir. Metakognisi merupakan </w:t>
      </w:r>
      <w:r w:rsidRPr="002249FD">
        <w:rPr>
          <w:sz w:val="20"/>
          <w:szCs w:val="20"/>
        </w:rPr>
        <w:lastRenderedPageBreak/>
        <w:t>pengetahuan tentang pembelajaran diri sendiri atau tentang cara belajar (McCormick, 2003</w:t>
      </w:r>
      <w:r w:rsidRPr="002249FD">
        <w:rPr>
          <w:i/>
          <w:sz w:val="20"/>
          <w:szCs w:val="20"/>
        </w:rPr>
        <w:t xml:space="preserve"> </w:t>
      </w:r>
      <w:r w:rsidRPr="002249FD">
        <w:rPr>
          <w:sz w:val="20"/>
          <w:szCs w:val="20"/>
        </w:rPr>
        <w:t>dalam</w:t>
      </w:r>
      <w:r w:rsidRPr="002249FD">
        <w:rPr>
          <w:i/>
          <w:sz w:val="20"/>
          <w:szCs w:val="20"/>
        </w:rPr>
        <w:t xml:space="preserve"> </w:t>
      </w:r>
      <w:r w:rsidRPr="002249FD">
        <w:rPr>
          <w:sz w:val="20"/>
          <w:szCs w:val="20"/>
        </w:rPr>
        <w:t>Slavin, 2006).</w:t>
      </w:r>
    </w:p>
    <w:p w:rsidR="00717740" w:rsidRPr="002249FD" w:rsidRDefault="00717740" w:rsidP="00F66727">
      <w:pPr>
        <w:ind w:firstLine="720"/>
        <w:jc w:val="both"/>
        <w:rPr>
          <w:sz w:val="20"/>
          <w:szCs w:val="20"/>
        </w:rPr>
      </w:pPr>
      <w:r w:rsidRPr="002249FD">
        <w:rPr>
          <w:sz w:val="20"/>
          <w:szCs w:val="20"/>
        </w:rPr>
        <w:t xml:space="preserve"> Beberapa pengertian metakognisi yang dimuat Taccau Project (2008) dalam</w:t>
      </w:r>
      <w:r w:rsidRPr="002249FD">
        <w:rPr>
          <w:i/>
          <w:sz w:val="20"/>
          <w:szCs w:val="20"/>
        </w:rPr>
        <w:t xml:space="preserve"> </w:t>
      </w:r>
      <w:r w:rsidRPr="002249FD">
        <w:rPr>
          <w:sz w:val="20"/>
          <w:szCs w:val="20"/>
        </w:rPr>
        <w:t xml:space="preserve">Kuntjojo (2009) adalah (1) metakognisi merupakan bagian perencanaan, </w:t>
      </w:r>
      <w:r w:rsidRPr="002249FD">
        <w:rPr>
          <w:i/>
          <w:sz w:val="20"/>
          <w:szCs w:val="20"/>
        </w:rPr>
        <w:t>monitoring</w:t>
      </w:r>
      <w:r w:rsidRPr="002249FD">
        <w:rPr>
          <w:sz w:val="20"/>
          <w:szCs w:val="20"/>
        </w:rPr>
        <w:t>, dan evaluasi proses belajar, (2) metakognisi merupakan pengetahuan tentang sistem kognitif diri sendiri; berpikir tentang berpikir diri sendiri; keterampilan esensial untuk belajar, (3) metakognisi termasuk berpikir tentang apa yang diketahui atau tidak diketahui dan pengaturan bagaimana kita belajar.</w:t>
      </w:r>
    </w:p>
    <w:p w:rsidR="00717740" w:rsidRPr="002249FD" w:rsidRDefault="00717740" w:rsidP="00F66727">
      <w:pPr>
        <w:ind w:firstLine="720"/>
        <w:jc w:val="both"/>
        <w:rPr>
          <w:sz w:val="20"/>
          <w:szCs w:val="20"/>
        </w:rPr>
      </w:pPr>
      <w:r w:rsidRPr="002249FD">
        <w:rPr>
          <w:sz w:val="20"/>
          <w:szCs w:val="20"/>
          <w:lang w:val="sv-SE"/>
        </w:rPr>
        <w:t>Hacker (1998) dalam</w:t>
      </w:r>
      <w:r w:rsidRPr="002249FD">
        <w:rPr>
          <w:i/>
          <w:sz w:val="20"/>
          <w:szCs w:val="20"/>
          <w:lang w:val="sv-SE"/>
        </w:rPr>
        <w:t xml:space="preserve"> </w:t>
      </w:r>
      <w:r w:rsidRPr="002249FD">
        <w:rPr>
          <w:sz w:val="20"/>
          <w:szCs w:val="20"/>
          <w:lang w:val="sv-SE"/>
        </w:rPr>
        <w:t>Downing dkk. (2009) membagi metakognisi ke dalam tiga tipe berpikir yaitu pengetahuan metakognisi, keterampilan metakognisi dan pengalaman metakognisi</w:t>
      </w:r>
      <w:r w:rsidRPr="002249FD">
        <w:rPr>
          <w:sz w:val="20"/>
          <w:szCs w:val="20"/>
        </w:rPr>
        <w:t>. Sedangkan, menurut Flavell dalam Livingston (1997), metakognisi terdiri dari pengetahuan metakognitif (</w:t>
      </w:r>
      <w:r w:rsidRPr="002249FD">
        <w:rPr>
          <w:i/>
          <w:sz w:val="20"/>
          <w:szCs w:val="20"/>
        </w:rPr>
        <w:t>metacognitive knowledge</w:t>
      </w:r>
      <w:r w:rsidRPr="002249FD">
        <w:rPr>
          <w:sz w:val="20"/>
          <w:szCs w:val="20"/>
        </w:rPr>
        <w:t>) dan pengalaman atau regulasi metakognitif (</w:t>
      </w:r>
      <w:r w:rsidRPr="002249FD">
        <w:rPr>
          <w:i/>
          <w:iCs/>
          <w:sz w:val="20"/>
          <w:szCs w:val="20"/>
        </w:rPr>
        <w:t>metacognitive experien</w:t>
      </w:r>
      <w:r w:rsidRPr="002249FD">
        <w:rPr>
          <w:i/>
          <w:iCs/>
          <w:sz w:val="20"/>
          <w:szCs w:val="20"/>
          <w:lang w:val="id-ID"/>
        </w:rPr>
        <w:t>c</w:t>
      </w:r>
      <w:r w:rsidRPr="002249FD">
        <w:rPr>
          <w:i/>
          <w:iCs/>
          <w:sz w:val="20"/>
          <w:szCs w:val="20"/>
        </w:rPr>
        <w:t>es or regulation</w:t>
      </w:r>
      <w:r w:rsidRPr="002249FD">
        <w:rPr>
          <w:sz w:val="20"/>
          <w:szCs w:val="20"/>
        </w:rPr>
        <w:t xml:space="preserve">). Pengetahuan metakognitif menunjuk pada diperolehnya pengetahuan tentang proses-proses kognitif, pengetahuan yang dapat dipakai untuk mengontrol proses kognitif.  </w:t>
      </w:r>
      <w:r w:rsidRPr="002249FD">
        <w:rPr>
          <w:bCs/>
          <w:iCs/>
          <w:sz w:val="20"/>
          <w:szCs w:val="20"/>
        </w:rPr>
        <w:t>Anderson dan Kathwohl (2001) menyatakan bahwa pengetahuan metakognisi adalah pengetahuan tentang kognisi, secara umum sama dengan kesadaran dan pengetahuan tentang kognisi-diri seseorang.</w:t>
      </w:r>
    </w:p>
    <w:p w:rsidR="00717740" w:rsidRPr="002249FD" w:rsidRDefault="00717740" w:rsidP="00F66727">
      <w:pPr>
        <w:ind w:firstLine="720"/>
        <w:jc w:val="both"/>
        <w:rPr>
          <w:sz w:val="20"/>
          <w:szCs w:val="20"/>
        </w:rPr>
      </w:pPr>
      <w:r w:rsidRPr="002249FD">
        <w:rPr>
          <w:sz w:val="20"/>
          <w:szCs w:val="20"/>
        </w:rPr>
        <w:t>Pengetahuan metakognisi (</w:t>
      </w:r>
      <w:r w:rsidRPr="002249FD">
        <w:rPr>
          <w:i/>
          <w:sz w:val="20"/>
          <w:szCs w:val="20"/>
        </w:rPr>
        <w:t>metacognitive knowledge</w:t>
      </w:r>
      <w:r w:rsidRPr="002249FD">
        <w:rPr>
          <w:sz w:val="20"/>
          <w:szCs w:val="20"/>
        </w:rPr>
        <w:t xml:space="preserve"> atau </w:t>
      </w:r>
      <w:r w:rsidRPr="002249FD">
        <w:rPr>
          <w:i/>
          <w:sz w:val="20"/>
          <w:szCs w:val="20"/>
        </w:rPr>
        <w:t>knowledge about cognition</w:t>
      </w:r>
      <w:r w:rsidRPr="002249FD">
        <w:rPr>
          <w:sz w:val="20"/>
          <w:szCs w:val="20"/>
        </w:rPr>
        <w:t xml:space="preserve">) terdiri atas sub komponen yaitu (1) </w:t>
      </w:r>
      <w:r w:rsidRPr="002249FD">
        <w:rPr>
          <w:i/>
          <w:sz w:val="20"/>
          <w:szCs w:val="20"/>
        </w:rPr>
        <w:t>declarative knowledge</w:t>
      </w:r>
      <w:r w:rsidRPr="002249FD">
        <w:rPr>
          <w:sz w:val="20"/>
          <w:szCs w:val="20"/>
        </w:rPr>
        <w:t xml:space="preserve">, (2) </w:t>
      </w:r>
      <w:r w:rsidRPr="002249FD">
        <w:rPr>
          <w:i/>
          <w:sz w:val="20"/>
          <w:szCs w:val="20"/>
        </w:rPr>
        <w:t>procedural knowledge</w:t>
      </w:r>
      <w:r w:rsidRPr="002249FD">
        <w:rPr>
          <w:sz w:val="20"/>
          <w:szCs w:val="20"/>
        </w:rPr>
        <w:t xml:space="preserve">, dan (3) </w:t>
      </w:r>
      <w:r w:rsidRPr="002249FD">
        <w:rPr>
          <w:i/>
          <w:sz w:val="20"/>
          <w:szCs w:val="20"/>
        </w:rPr>
        <w:t>conditional knowledge</w:t>
      </w:r>
      <w:r w:rsidRPr="002249FD">
        <w:rPr>
          <w:sz w:val="20"/>
          <w:szCs w:val="20"/>
        </w:rPr>
        <w:t xml:space="preserve"> (Schraw dan Dennison, 1994; Schraw dan Moshman, 1995; Schraw, 1998; </w:t>
      </w:r>
      <w:r w:rsidRPr="002249FD">
        <w:rPr>
          <w:bCs/>
          <w:sz w:val="20"/>
          <w:szCs w:val="20"/>
        </w:rPr>
        <w:t>Peirce, 2003; OLRC News, 2004). Sedangkan menurut Flavel</w:t>
      </w:r>
      <w:r w:rsidRPr="002249FD">
        <w:rPr>
          <w:bCs/>
          <w:sz w:val="20"/>
          <w:szCs w:val="20"/>
          <w:lang w:val="id-ID"/>
        </w:rPr>
        <w:t>l</w:t>
      </w:r>
      <w:r w:rsidRPr="002249FD">
        <w:rPr>
          <w:bCs/>
          <w:sz w:val="20"/>
          <w:szCs w:val="20"/>
        </w:rPr>
        <w:t xml:space="preserve"> (1976) dalam Wilson, 2008; Louca, 2003), pengetahuan metakognitif terdiri atas 3 kategori </w:t>
      </w:r>
      <w:r w:rsidRPr="002249FD">
        <w:rPr>
          <w:sz w:val="20"/>
          <w:szCs w:val="20"/>
          <w:lang w:val="es-MX"/>
        </w:rPr>
        <w:t>yaitu (1) p</w:t>
      </w:r>
      <w:r w:rsidRPr="002249FD">
        <w:rPr>
          <w:i/>
          <w:sz w:val="20"/>
          <w:szCs w:val="20"/>
          <w:lang w:val="es-MX"/>
        </w:rPr>
        <w:t>erson variable</w:t>
      </w:r>
      <w:r w:rsidRPr="002249FD">
        <w:rPr>
          <w:sz w:val="20"/>
          <w:szCs w:val="20"/>
          <w:lang w:val="es-MX"/>
        </w:rPr>
        <w:t xml:space="preserve"> (variabel </w:t>
      </w:r>
      <w:r w:rsidRPr="002249FD">
        <w:rPr>
          <w:i/>
          <w:sz w:val="20"/>
          <w:szCs w:val="20"/>
          <w:lang w:val="es-MX"/>
        </w:rPr>
        <w:t>person</w:t>
      </w:r>
      <w:r w:rsidRPr="002249FD">
        <w:rPr>
          <w:sz w:val="20"/>
          <w:szCs w:val="20"/>
          <w:lang w:val="es-MX"/>
        </w:rPr>
        <w:t xml:space="preserve">) atau  </w:t>
      </w:r>
      <w:r w:rsidRPr="002249FD">
        <w:rPr>
          <w:sz w:val="20"/>
          <w:szCs w:val="20"/>
        </w:rPr>
        <w:t xml:space="preserve">pengetahuan tentang diri seseorang, dan berpikir terhadap orang lain; (2) </w:t>
      </w:r>
      <w:r w:rsidRPr="002249FD">
        <w:rPr>
          <w:i/>
          <w:sz w:val="20"/>
          <w:szCs w:val="20"/>
        </w:rPr>
        <w:t>t</w:t>
      </w:r>
      <w:r w:rsidRPr="002249FD">
        <w:rPr>
          <w:i/>
          <w:sz w:val="20"/>
          <w:szCs w:val="20"/>
          <w:lang w:val="es-MX"/>
        </w:rPr>
        <w:t>aks variable</w:t>
      </w:r>
      <w:r w:rsidRPr="002249FD">
        <w:rPr>
          <w:sz w:val="20"/>
          <w:szCs w:val="20"/>
          <w:lang w:val="es-MX"/>
        </w:rPr>
        <w:t xml:space="preserve"> (variabel tugas) </w:t>
      </w:r>
      <w:r w:rsidRPr="002249FD">
        <w:rPr>
          <w:sz w:val="20"/>
          <w:szCs w:val="20"/>
        </w:rPr>
        <w:t>atau pengetahuan tentang berbagai jenis tugas sebagai tuntutan kognitif, dan (3) s</w:t>
      </w:r>
      <w:r w:rsidRPr="002249FD">
        <w:rPr>
          <w:i/>
          <w:sz w:val="20"/>
          <w:szCs w:val="20"/>
          <w:lang w:val="es-MX"/>
        </w:rPr>
        <w:t>trategy variable</w:t>
      </w:r>
      <w:r w:rsidRPr="002249FD">
        <w:rPr>
          <w:sz w:val="20"/>
          <w:szCs w:val="20"/>
          <w:lang w:val="es-MX"/>
        </w:rPr>
        <w:t xml:space="preserve"> (variabel strategi) at</w:t>
      </w:r>
      <w:r w:rsidRPr="002249FD">
        <w:rPr>
          <w:sz w:val="20"/>
          <w:szCs w:val="20"/>
        </w:rPr>
        <w:t>au pengetahuan tentang strategi kognitif dan metakognitif untuk meningkatkan pembelajaran dan kinerja.</w:t>
      </w:r>
    </w:p>
    <w:p w:rsidR="00717740" w:rsidRPr="002249FD" w:rsidRDefault="00717740" w:rsidP="00F66727">
      <w:pPr>
        <w:ind w:firstLine="720"/>
        <w:jc w:val="both"/>
        <w:rPr>
          <w:sz w:val="20"/>
          <w:szCs w:val="20"/>
        </w:rPr>
      </w:pPr>
      <w:r w:rsidRPr="002249FD">
        <w:rPr>
          <w:sz w:val="20"/>
          <w:szCs w:val="20"/>
        </w:rPr>
        <w:t>Peserta didik</w:t>
      </w:r>
      <w:r w:rsidRPr="002249FD">
        <w:rPr>
          <w:color w:val="000000"/>
          <w:sz w:val="20"/>
          <w:szCs w:val="20"/>
          <w:lang w:val="id-ID"/>
        </w:rPr>
        <w:t xml:space="preserve"> yang menguasai kemampuan metakognisi terbukti mampu menjadi pebelajar mandiri, jujur, dan berani mencoba, sehingga mereka cenderung berprestasi dalam belaj</w:t>
      </w:r>
      <w:r w:rsidRPr="002249FD">
        <w:rPr>
          <w:color w:val="000000"/>
          <w:sz w:val="20"/>
          <w:szCs w:val="20"/>
        </w:rPr>
        <w:t>a</w:t>
      </w:r>
      <w:r w:rsidRPr="002249FD">
        <w:rPr>
          <w:color w:val="000000"/>
          <w:sz w:val="20"/>
          <w:szCs w:val="20"/>
          <w:lang w:val="id-ID"/>
        </w:rPr>
        <w:t xml:space="preserve">r </w:t>
      </w:r>
      <w:r w:rsidRPr="002249FD">
        <w:rPr>
          <w:sz w:val="20"/>
          <w:szCs w:val="20"/>
          <w:lang w:val="id-ID"/>
        </w:rPr>
        <w:t>(Efklides, 2006; Eggen &amp; Kauchak, 1996).</w:t>
      </w:r>
      <w:r w:rsidRPr="002249FD">
        <w:rPr>
          <w:sz w:val="20"/>
          <w:szCs w:val="20"/>
        </w:rPr>
        <w:t xml:space="preserve"> Selain itu lebih lanjut Enggen </w:t>
      </w:r>
      <w:r w:rsidRPr="002249FD">
        <w:rPr>
          <w:sz w:val="20"/>
          <w:szCs w:val="20"/>
          <w:lang w:val="id-ID"/>
        </w:rPr>
        <w:t>&amp;</w:t>
      </w:r>
      <w:r w:rsidRPr="002249FD">
        <w:rPr>
          <w:sz w:val="20"/>
          <w:szCs w:val="20"/>
        </w:rPr>
        <w:t xml:space="preserve"> Kauchak, (1996) mengemukakan bahwa pengembangan kecakapan pada siswa adalah suatu tujuan pendidikan yang berharga, karena kecakapan itu dapat membantu mereka menjadi </w:t>
      </w:r>
      <w:r w:rsidRPr="002249FD">
        <w:rPr>
          <w:i/>
          <w:sz w:val="20"/>
          <w:szCs w:val="20"/>
        </w:rPr>
        <w:t xml:space="preserve">self-regulated learners. Self-regulated learner </w:t>
      </w:r>
      <w:r w:rsidRPr="002249FD">
        <w:rPr>
          <w:sz w:val="20"/>
          <w:szCs w:val="20"/>
        </w:rPr>
        <w:t xml:space="preserve">bertanggung jawab terhadap kemajuan belajarnya sendiri dan mengadaptasi strategi belajarnya mencapai tuntutan tuntas. </w:t>
      </w:r>
    </w:p>
    <w:p w:rsidR="00717740" w:rsidRPr="002249FD" w:rsidRDefault="00717740" w:rsidP="00F66727">
      <w:pPr>
        <w:ind w:firstLine="720"/>
        <w:jc w:val="both"/>
        <w:rPr>
          <w:sz w:val="20"/>
          <w:szCs w:val="20"/>
        </w:rPr>
      </w:pPr>
      <w:r w:rsidRPr="002249FD">
        <w:rPr>
          <w:sz w:val="20"/>
          <w:szCs w:val="20"/>
        </w:rPr>
        <w:t xml:space="preserve">Schraw </w:t>
      </w:r>
      <w:r w:rsidRPr="002249FD">
        <w:rPr>
          <w:sz w:val="20"/>
          <w:szCs w:val="20"/>
          <w:lang w:val="id-ID"/>
        </w:rPr>
        <w:t>&amp;</w:t>
      </w:r>
      <w:r w:rsidRPr="002249FD">
        <w:rPr>
          <w:sz w:val="20"/>
          <w:szCs w:val="20"/>
        </w:rPr>
        <w:t xml:space="preserve"> Dennison (1994) menyatakan bahwa para pebelajar yang terampil melakukan asessmen terhadap diri sendiri sadar akan kemampuannya, bertindak lebih strategies</w:t>
      </w:r>
      <w:r w:rsidRPr="002249FD">
        <w:rPr>
          <w:sz w:val="20"/>
          <w:szCs w:val="20"/>
          <w:lang w:val="id-ID"/>
        </w:rPr>
        <w:t>,</w:t>
      </w:r>
      <w:r w:rsidRPr="002249FD">
        <w:rPr>
          <w:sz w:val="20"/>
          <w:szCs w:val="20"/>
        </w:rPr>
        <w:t xml:space="preserve"> dan lebih baik dibanding mereka yang tidak terampil melakukan asessmen diri sendiri. Menurut Anderson </w:t>
      </w:r>
      <w:r w:rsidRPr="002249FD">
        <w:rPr>
          <w:sz w:val="20"/>
          <w:szCs w:val="20"/>
          <w:lang w:val="id-ID"/>
        </w:rPr>
        <w:t>&amp;</w:t>
      </w:r>
      <w:r w:rsidRPr="002249FD">
        <w:rPr>
          <w:sz w:val="20"/>
          <w:szCs w:val="20"/>
        </w:rPr>
        <w:t xml:space="preserve">  Krathwohl </w:t>
      </w:r>
      <w:r w:rsidRPr="002249FD">
        <w:rPr>
          <w:sz w:val="20"/>
          <w:szCs w:val="20"/>
          <w:lang w:val="id-ID"/>
        </w:rPr>
        <w:t>(2001) bahwa metakognitif bermanfaat untuk:</w:t>
      </w:r>
      <w:r w:rsidRPr="002249FD">
        <w:rPr>
          <w:sz w:val="20"/>
          <w:szCs w:val="20"/>
        </w:rPr>
        <w:t xml:space="preserve"> (1) membuat siswa makin menyadari dan bertanggung jawab atas pengetahuan dan pemikiran mereka sendiri, (2) membuat siswa untuk dapat berpikir dan melakukan pemecahan masalah,  (3) mengetahui berbagai jenis metakognitif bermanfaat untuk merencanakan, memonitor, dan mengatur kognisi mereka, (4) membantu siswa mengetahui berbagai strategi-strategi belajar yang dapat digunakan untuk menghafal materi pelajaran, mencari makna teks, atau memahami apa yang mereka dengan dari pelajaran di kelas atau dari bacaan dari buku, (5) siswa yang memiliki pengetahuan diri akan bermanfaat baginya untuk mempersiapkan diri menghadapi tes.</w:t>
      </w:r>
    </w:p>
    <w:p w:rsidR="00717740" w:rsidRPr="002249FD" w:rsidRDefault="00717740" w:rsidP="00F66727">
      <w:pPr>
        <w:ind w:firstLine="720"/>
        <w:jc w:val="both"/>
        <w:rPr>
          <w:sz w:val="20"/>
          <w:szCs w:val="20"/>
        </w:rPr>
      </w:pPr>
      <w:r w:rsidRPr="002249FD">
        <w:rPr>
          <w:sz w:val="20"/>
          <w:szCs w:val="20"/>
        </w:rPr>
        <w:t>Hasil penelitian Danial (2010), Bahri (2010) dan Palennari  (2012) telah meginformasikan bahwa mahasiswa Jurusan Biologi sudah memiliki kesadaran metakognisi. Akan tetapi, hasil penelitian tersebut belum menunjukkan kesadaran metakognisi berdasarkan jalur penerimaan. Kesadaran metakognisi mahasiswa pada tiga jalur penerimaan tersebut belum ada penelitian yang dilakukan di Jurusan Biologi FMIPA UNM. Oleh karena itu dilakukan penelitian untuk mengetahui keasadaran metakognisi mahasiswa Jurusan Biologi pada tahun akademik 2015/2016.</w:t>
      </w:r>
    </w:p>
    <w:p w:rsidR="00717740" w:rsidRPr="002249FD" w:rsidRDefault="00717740" w:rsidP="00F66727">
      <w:pPr>
        <w:autoSpaceDE w:val="0"/>
        <w:ind w:firstLine="199"/>
        <w:jc w:val="both"/>
        <w:rPr>
          <w:color w:val="000000"/>
          <w:sz w:val="20"/>
          <w:szCs w:val="20"/>
          <w:lang w:val="en-AU"/>
        </w:rPr>
      </w:pPr>
    </w:p>
    <w:p w:rsidR="00440FD7" w:rsidRPr="002249FD" w:rsidRDefault="00440FD7" w:rsidP="00F66727">
      <w:pPr>
        <w:autoSpaceDE w:val="0"/>
        <w:rPr>
          <w:b/>
          <w:color w:val="000000"/>
          <w:sz w:val="20"/>
          <w:szCs w:val="20"/>
          <w:lang w:val="en-AU"/>
        </w:rPr>
      </w:pPr>
      <w:r w:rsidRPr="002249FD">
        <w:rPr>
          <w:b/>
          <w:color w:val="000000"/>
          <w:sz w:val="20"/>
          <w:szCs w:val="20"/>
          <w:lang w:val="en-AU"/>
        </w:rPr>
        <w:t xml:space="preserve">III. </w:t>
      </w:r>
      <w:r w:rsidR="009306DD" w:rsidRPr="002249FD">
        <w:rPr>
          <w:b/>
          <w:color w:val="000000"/>
          <w:sz w:val="20"/>
          <w:szCs w:val="20"/>
          <w:lang w:val="en-AU"/>
        </w:rPr>
        <w:t>METODE PENELITIAN/EKSPERIMEN</w:t>
      </w:r>
    </w:p>
    <w:p w:rsidR="00440FD7" w:rsidRPr="002249FD" w:rsidRDefault="00440FD7" w:rsidP="00F66727">
      <w:pPr>
        <w:autoSpaceDE w:val="0"/>
        <w:ind w:firstLine="199"/>
        <w:jc w:val="both"/>
        <w:rPr>
          <w:color w:val="000000"/>
          <w:sz w:val="20"/>
          <w:szCs w:val="20"/>
          <w:lang w:val="en-AU"/>
        </w:rPr>
      </w:pPr>
    </w:p>
    <w:p w:rsidR="007A6EA6" w:rsidRPr="002249FD" w:rsidRDefault="007A6EA6" w:rsidP="00F66727">
      <w:pPr>
        <w:ind w:firstLine="709"/>
        <w:jc w:val="both"/>
        <w:rPr>
          <w:sz w:val="20"/>
          <w:szCs w:val="20"/>
        </w:rPr>
      </w:pPr>
      <w:r w:rsidRPr="002249FD">
        <w:rPr>
          <w:spacing w:val="-2"/>
          <w:sz w:val="20"/>
          <w:szCs w:val="20"/>
          <w:lang w:val="nb-NO"/>
        </w:rPr>
        <w:t xml:space="preserve">Penelitian ini merupakan penelitian </w:t>
      </w:r>
      <w:r w:rsidRPr="002249FD">
        <w:rPr>
          <w:i/>
          <w:iCs/>
          <w:spacing w:val="-2"/>
          <w:sz w:val="20"/>
          <w:szCs w:val="20"/>
          <w:lang w:val="nb-NO"/>
        </w:rPr>
        <w:t>ex post facto</w:t>
      </w:r>
      <w:r w:rsidRPr="002249FD">
        <w:rPr>
          <w:iCs/>
          <w:spacing w:val="-2"/>
          <w:sz w:val="20"/>
          <w:szCs w:val="20"/>
          <w:lang w:val="nb-NO"/>
        </w:rPr>
        <w:t xml:space="preserve"> </w:t>
      </w:r>
      <w:r w:rsidRPr="002249FD">
        <w:rPr>
          <w:spacing w:val="-2"/>
          <w:sz w:val="20"/>
          <w:szCs w:val="20"/>
          <w:lang w:val="nb-NO"/>
        </w:rPr>
        <w:t xml:space="preserve">untuk melihat kesadaran metakognisi </w:t>
      </w:r>
      <w:r w:rsidRPr="002249FD">
        <w:rPr>
          <w:spacing w:val="-6"/>
          <w:sz w:val="20"/>
          <w:szCs w:val="20"/>
          <w:lang w:val="nb-NO"/>
        </w:rPr>
        <w:t xml:space="preserve"> mahasiswa Jurusan Biologi jalur SBMPT/SNPTN  dan jalur mandiri.</w:t>
      </w:r>
      <w:r w:rsidRPr="002249FD">
        <w:rPr>
          <w:sz w:val="20"/>
          <w:szCs w:val="20"/>
          <w:lang w:val="nb-NO"/>
        </w:rPr>
        <w:t xml:space="preserve"> Penelitian ini dilaksanakan di Jurusan Biologi FMIPA UNM  tahun akademik 2015/2016. </w:t>
      </w:r>
      <w:r w:rsidRPr="002249FD">
        <w:rPr>
          <w:sz w:val="20"/>
          <w:szCs w:val="20"/>
        </w:rPr>
        <w:t xml:space="preserve">Populasi dalam penelitian ini adalah seluruh mahasiswa Jurusan Biologi tahun akademik 2015/2016. Sampel dalam penelitian ini terdiri atas  tiga kelompok yaitu sampel kelompok jalur SNMPTN, jalur  SBMPTN, dan jalur mandiri. Sampel diambil  dengan cara </w:t>
      </w:r>
      <w:r w:rsidRPr="002249FD">
        <w:rPr>
          <w:i/>
          <w:sz w:val="20"/>
          <w:szCs w:val="20"/>
        </w:rPr>
        <w:t xml:space="preserve">purposive sampling </w:t>
      </w:r>
      <w:r w:rsidRPr="002249FD">
        <w:rPr>
          <w:sz w:val="20"/>
          <w:szCs w:val="20"/>
        </w:rPr>
        <w:t>sejumlah 132 mahasiswa.</w:t>
      </w:r>
    </w:p>
    <w:p w:rsidR="007A6EA6" w:rsidRPr="002249FD" w:rsidRDefault="007A6EA6" w:rsidP="00F66727">
      <w:pPr>
        <w:pStyle w:val="BodyText"/>
        <w:spacing w:after="0"/>
        <w:ind w:firstLine="720"/>
        <w:jc w:val="both"/>
        <w:rPr>
          <w:sz w:val="20"/>
          <w:szCs w:val="20"/>
        </w:rPr>
      </w:pPr>
      <w:r w:rsidRPr="002249FD">
        <w:rPr>
          <w:sz w:val="20"/>
          <w:szCs w:val="20"/>
        </w:rPr>
        <w:t>Data dalam penelitian ini dikumpul dengan menggunakan instrument MAI (</w:t>
      </w:r>
      <w:r w:rsidRPr="002249FD">
        <w:rPr>
          <w:i/>
          <w:sz w:val="20"/>
          <w:szCs w:val="20"/>
          <w:lang w:val="id-ID"/>
        </w:rPr>
        <w:t>met</w:t>
      </w:r>
      <w:r w:rsidRPr="002249FD">
        <w:rPr>
          <w:i/>
          <w:sz w:val="20"/>
          <w:szCs w:val="20"/>
        </w:rPr>
        <w:t>a</w:t>
      </w:r>
      <w:r w:rsidRPr="002249FD">
        <w:rPr>
          <w:i/>
          <w:sz w:val="20"/>
          <w:szCs w:val="20"/>
          <w:lang w:val="id-ID"/>
        </w:rPr>
        <w:t>cognitive awareness inventory</w:t>
      </w:r>
      <w:r w:rsidRPr="002249FD">
        <w:rPr>
          <w:i/>
          <w:sz w:val="20"/>
          <w:szCs w:val="20"/>
        </w:rPr>
        <w:t>)</w:t>
      </w:r>
      <w:r w:rsidRPr="002249FD">
        <w:rPr>
          <w:sz w:val="20"/>
          <w:szCs w:val="20"/>
        </w:rPr>
        <w:t xml:space="preserve">. Angket ini </w:t>
      </w:r>
      <w:r w:rsidRPr="002249FD">
        <w:rPr>
          <w:i/>
          <w:sz w:val="20"/>
          <w:szCs w:val="20"/>
        </w:rPr>
        <w:t>diadaptasi</w:t>
      </w:r>
      <w:r w:rsidRPr="002249FD">
        <w:rPr>
          <w:sz w:val="20"/>
          <w:szCs w:val="20"/>
        </w:rPr>
        <w:t xml:space="preserve"> dari Schraw </w:t>
      </w:r>
      <w:r w:rsidRPr="002249FD">
        <w:rPr>
          <w:sz w:val="20"/>
          <w:szCs w:val="20"/>
          <w:lang w:val="id-ID"/>
        </w:rPr>
        <w:t>&amp;</w:t>
      </w:r>
      <w:r w:rsidRPr="002249FD">
        <w:rPr>
          <w:sz w:val="20"/>
          <w:szCs w:val="20"/>
        </w:rPr>
        <w:t xml:space="preserve"> Dennison (1994) yang terdiri dari dua bagian yaitu pengetahuan metakognisi dan regulasi metakognisi. Pengetahuan metakognisi meliputi (1) </w:t>
      </w:r>
      <w:r w:rsidRPr="002249FD">
        <w:rPr>
          <w:i/>
          <w:sz w:val="20"/>
          <w:szCs w:val="20"/>
        </w:rPr>
        <w:t>declarative knowledge</w:t>
      </w:r>
      <w:r w:rsidRPr="002249FD">
        <w:rPr>
          <w:sz w:val="20"/>
          <w:szCs w:val="20"/>
        </w:rPr>
        <w:t xml:space="preserve">, (2) </w:t>
      </w:r>
      <w:r w:rsidRPr="002249FD">
        <w:rPr>
          <w:i/>
          <w:sz w:val="20"/>
          <w:szCs w:val="20"/>
        </w:rPr>
        <w:t>procedural knowledge</w:t>
      </w:r>
      <w:r w:rsidRPr="002249FD">
        <w:rPr>
          <w:sz w:val="20"/>
          <w:szCs w:val="20"/>
        </w:rPr>
        <w:t xml:space="preserve">, dan (3) </w:t>
      </w:r>
      <w:r w:rsidRPr="002249FD">
        <w:rPr>
          <w:i/>
          <w:sz w:val="20"/>
          <w:szCs w:val="20"/>
        </w:rPr>
        <w:t>conditional knowledge</w:t>
      </w:r>
      <w:r w:rsidRPr="002249FD">
        <w:rPr>
          <w:sz w:val="20"/>
          <w:szCs w:val="20"/>
        </w:rPr>
        <w:t>. Regulasi metakognisi meliputi</w:t>
      </w:r>
      <w:r w:rsidRPr="002249FD">
        <w:rPr>
          <w:bCs/>
          <w:sz w:val="20"/>
          <w:szCs w:val="20"/>
          <w:lang w:val="id-ID"/>
        </w:rPr>
        <w:t xml:space="preserve">: </w:t>
      </w:r>
      <w:r w:rsidRPr="002249FD">
        <w:rPr>
          <w:bCs/>
          <w:sz w:val="20"/>
          <w:szCs w:val="20"/>
        </w:rPr>
        <w:t xml:space="preserve">(1) perencanaan, (2) strategi menajemen informasi, (3) </w:t>
      </w:r>
      <w:r w:rsidRPr="002249FD">
        <w:rPr>
          <w:bCs/>
          <w:i/>
          <w:sz w:val="20"/>
          <w:szCs w:val="20"/>
        </w:rPr>
        <w:t>monitoring</w:t>
      </w:r>
      <w:r w:rsidRPr="002249FD">
        <w:rPr>
          <w:bCs/>
          <w:sz w:val="20"/>
          <w:szCs w:val="20"/>
        </w:rPr>
        <w:t xml:space="preserve"> pemahaman, (4) strategi mengoreksi, dan (4) evaluasi.</w:t>
      </w:r>
      <w:r w:rsidRPr="002249FD">
        <w:rPr>
          <w:bCs/>
          <w:sz w:val="20"/>
          <w:szCs w:val="20"/>
          <w:lang w:val="id-ID"/>
        </w:rPr>
        <w:t xml:space="preserve"> </w:t>
      </w:r>
      <w:r w:rsidRPr="002249FD">
        <w:rPr>
          <w:bCs/>
          <w:sz w:val="20"/>
          <w:szCs w:val="20"/>
        </w:rPr>
        <w:t xml:space="preserve">Kedua komponen tersebut terdistribusi ke dalam 52 butir item pernyataan dengan skala lima yaitu sangat setuju, setuju, tidak jelas, tidak setuju dan sangat tidak setuju. Kelima skala tersebut diberi bobot dari 1 sampai 5 dengan ketentuan sangat setuju diberi bobot 5 dan sangat tidak setuju diberi bobot 1. </w:t>
      </w:r>
      <w:r w:rsidRPr="002249FD">
        <w:rPr>
          <w:sz w:val="20"/>
          <w:szCs w:val="20"/>
        </w:rPr>
        <w:t xml:space="preserve">Data dalam penelitian dianalisis secara kuantitatif dengan persentase dan analisis secara inferensial dengan menggunakan ANOVA, Untuk membuktikan hipotesis “perbedaan kesadaran metakognisi mahasiwa Jurusan Biologi antara jalur SNMPTN, Jalur SBMPT, Jalur Manidiri. </w:t>
      </w:r>
    </w:p>
    <w:p w:rsidR="007A6EA6" w:rsidRPr="002249FD" w:rsidRDefault="007A6EA6" w:rsidP="00F66727">
      <w:pPr>
        <w:autoSpaceDE w:val="0"/>
        <w:ind w:firstLine="199"/>
        <w:jc w:val="both"/>
        <w:rPr>
          <w:color w:val="000000"/>
          <w:sz w:val="20"/>
          <w:szCs w:val="20"/>
          <w:lang w:val="en-AU"/>
        </w:rPr>
      </w:pPr>
    </w:p>
    <w:p w:rsidR="00440FD7" w:rsidRDefault="00440FD7" w:rsidP="00F66727">
      <w:pPr>
        <w:autoSpaceDE w:val="0"/>
        <w:jc w:val="both"/>
        <w:rPr>
          <w:color w:val="000000"/>
          <w:sz w:val="20"/>
          <w:szCs w:val="20"/>
          <w:lang w:val="en-AU"/>
        </w:rPr>
      </w:pPr>
      <w:r w:rsidRPr="002249FD">
        <w:rPr>
          <w:color w:val="000000"/>
          <w:sz w:val="20"/>
          <w:szCs w:val="20"/>
          <w:lang w:val="en-AU"/>
        </w:rPr>
        <w:t xml:space="preserve"> </w:t>
      </w:r>
    </w:p>
    <w:p w:rsidR="005A692B" w:rsidRDefault="005A692B" w:rsidP="00F66727">
      <w:pPr>
        <w:autoSpaceDE w:val="0"/>
        <w:jc w:val="both"/>
        <w:rPr>
          <w:color w:val="000000"/>
          <w:sz w:val="20"/>
          <w:szCs w:val="20"/>
          <w:lang w:val="en-AU"/>
        </w:rPr>
      </w:pPr>
    </w:p>
    <w:p w:rsidR="005A692B" w:rsidRPr="002249FD" w:rsidRDefault="005A692B" w:rsidP="00F66727">
      <w:pPr>
        <w:autoSpaceDE w:val="0"/>
        <w:jc w:val="both"/>
        <w:rPr>
          <w:color w:val="000000"/>
          <w:sz w:val="20"/>
          <w:szCs w:val="20"/>
          <w:lang w:val="en-AU"/>
        </w:rPr>
      </w:pPr>
    </w:p>
    <w:p w:rsidR="00440FD7" w:rsidRPr="002249FD" w:rsidRDefault="00440FD7" w:rsidP="00F66727">
      <w:pPr>
        <w:autoSpaceDE w:val="0"/>
        <w:rPr>
          <w:b/>
          <w:color w:val="000000"/>
          <w:sz w:val="20"/>
          <w:szCs w:val="20"/>
          <w:lang w:val="en-AU"/>
        </w:rPr>
      </w:pPr>
      <w:r w:rsidRPr="002249FD">
        <w:rPr>
          <w:b/>
          <w:color w:val="000000"/>
          <w:sz w:val="20"/>
          <w:szCs w:val="20"/>
          <w:lang w:val="en-AU"/>
        </w:rPr>
        <w:t xml:space="preserve">IV. </w:t>
      </w:r>
      <w:r w:rsidR="009306DD" w:rsidRPr="002249FD">
        <w:rPr>
          <w:b/>
          <w:color w:val="000000"/>
          <w:sz w:val="20"/>
          <w:szCs w:val="20"/>
          <w:lang w:val="en-AU"/>
        </w:rPr>
        <w:t>HASIL DAN PEMBAHASAN</w:t>
      </w:r>
      <w:r w:rsidRPr="002249FD">
        <w:rPr>
          <w:b/>
          <w:color w:val="000000"/>
          <w:sz w:val="20"/>
          <w:szCs w:val="20"/>
          <w:lang w:val="en-AU"/>
        </w:rPr>
        <w:t xml:space="preserve">  </w:t>
      </w:r>
    </w:p>
    <w:p w:rsidR="002249FD" w:rsidRPr="002249FD" w:rsidRDefault="002249FD" w:rsidP="00F66727">
      <w:pPr>
        <w:pStyle w:val="ListParagraph"/>
        <w:numPr>
          <w:ilvl w:val="0"/>
          <w:numId w:val="5"/>
        </w:numPr>
        <w:spacing w:after="0" w:line="240" w:lineRule="auto"/>
        <w:ind w:left="426" w:hanging="426"/>
        <w:jc w:val="both"/>
        <w:rPr>
          <w:rFonts w:ascii="Times New Roman" w:hAnsi="Times New Roman"/>
          <w:b/>
          <w:sz w:val="20"/>
          <w:szCs w:val="20"/>
        </w:rPr>
      </w:pPr>
      <w:r w:rsidRPr="002249FD">
        <w:rPr>
          <w:rFonts w:ascii="Times New Roman" w:hAnsi="Times New Roman"/>
          <w:b/>
          <w:sz w:val="20"/>
          <w:szCs w:val="20"/>
        </w:rPr>
        <w:t>Deskripsi Kesadaran Metakognisi Mahasiswa Jurusan Biologi Berdasarkan Jalur Penerimaan</w:t>
      </w:r>
    </w:p>
    <w:p w:rsidR="007A6EA6" w:rsidRDefault="007A6EA6" w:rsidP="00F66727">
      <w:pPr>
        <w:pStyle w:val="ListParagraph"/>
        <w:spacing w:after="0" w:line="240" w:lineRule="auto"/>
        <w:ind w:left="0" w:firstLine="720"/>
        <w:jc w:val="both"/>
        <w:rPr>
          <w:rFonts w:ascii="Times New Roman" w:hAnsi="Times New Roman"/>
          <w:sz w:val="20"/>
          <w:szCs w:val="20"/>
        </w:rPr>
      </w:pPr>
      <w:r w:rsidRPr="002249FD">
        <w:rPr>
          <w:rFonts w:ascii="Times New Roman" w:hAnsi="Times New Roman"/>
          <w:bCs/>
          <w:sz w:val="20"/>
          <w:szCs w:val="20"/>
        </w:rPr>
        <w:t xml:space="preserve">Hasil perolehan kesadaran metakognisi </w:t>
      </w:r>
      <w:r w:rsidRPr="002249FD">
        <w:rPr>
          <w:rFonts w:ascii="Times New Roman" w:hAnsi="Times New Roman"/>
          <w:sz w:val="20"/>
          <w:szCs w:val="20"/>
          <w:lang w:val="id-ID"/>
        </w:rPr>
        <w:t xml:space="preserve">mahasiswa Jurusan Biologi </w:t>
      </w:r>
      <w:r w:rsidRPr="002249FD">
        <w:rPr>
          <w:rFonts w:ascii="Times New Roman" w:hAnsi="Times New Roman"/>
          <w:sz w:val="20"/>
          <w:szCs w:val="20"/>
        </w:rPr>
        <w:t xml:space="preserve">pada jalur SBMPTN, SNMPTN, dan mandiri </w:t>
      </w:r>
      <w:r w:rsidRPr="002249FD">
        <w:rPr>
          <w:rFonts w:ascii="Times New Roman" w:hAnsi="Times New Roman"/>
          <w:sz w:val="20"/>
          <w:szCs w:val="20"/>
          <w:lang w:val="id-ID"/>
        </w:rPr>
        <w:t xml:space="preserve">dapat </w:t>
      </w:r>
      <w:r w:rsidRPr="002249FD">
        <w:rPr>
          <w:rFonts w:ascii="Times New Roman" w:hAnsi="Times New Roman"/>
          <w:sz w:val="20"/>
          <w:szCs w:val="20"/>
        </w:rPr>
        <w:t xml:space="preserve">dilihat pada </w:t>
      </w:r>
      <w:r w:rsidRPr="002249FD">
        <w:rPr>
          <w:rFonts w:ascii="Times New Roman" w:hAnsi="Times New Roman"/>
          <w:sz w:val="20"/>
          <w:szCs w:val="20"/>
          <w:lang w:val="id-ID"/>
        </w:rPr>
        <w:t>L</w:t>
      </w:r>
      <w:r w:rsidRPr="002249FD">
        <w:rPr>
          <w:rFonts w:ascii="Times New Roman" w:hAnsi="Times New Roman"/>
          <w:sz w:val="20"/>
          <w:szCs w:val="20"/>
        </w:rPr>
        <w:t>ampiran</w:t>
      </w:r>
      <w:r w:rsidRPr="002249FD">
        <w:rPr>
          <w:rFonts w:ascii="Times New Roman" w:hAnsi="Times New Roman"/>
          <w:sz w:val="20"/>
          <w:szCs w:val="20"/>
          <w:lang w:val="id-ID"/>
        </w:rPr>
        <w:t xml:space="preserve"> 2</w:t>
      </w:r>
      <w:r w:rsidRPr="002249FD">
        <w:rPr>
          <w:rFonts w:ascii="Times New Roman" w:hAnsi="Times New Roman"/>
          <w:sz w:val="20"/>
          <w:szCs w:val="20"/>
        </w:rPr>
        <w:t xml:space="preserve">. Skor kesadaran metakognisi </w:t>
      </w:r>
      <w:r w:rsidRPr="002249FD">
        <w:rPr>
          <w:rFonts w:ascii="Times New Roman" w:hAnsi="Times New Roman"/>
          <w:sz w:val="20"/>
          <w:szCs w:val="20"/>
          <w:lang w:val="id-ID"/>
        </w:rPr>
        <w:t>mahasiswa</w:t>
      </w:r>
      <w:r w:rsidRPr="002249FD">
        <w:rPr>
          <w:rFonts w:ascii="Times New Roman" w:hAnsi="Times New Roman"/>
          <w:sz w:val="20"/>
          <w:szCs w:val="20"/>
        </w:rPr>
        <w:t xml:space="preserve"> dikategorikan seperti yang </w:t>
      </w:r>
      <w:r w:rsidRPr="002249FD">
        <w:rPr>
          <w:rFonts w:ascii="Times New Roman" w:hAnsi="Times New Roman"/>
          <w:sz w:val="20"/>
          <w:szCs w:val="20"/>
          <w:lang w:val="id-ID"/>
        </w:rPr>
        <w:t xml:space="preserve">ditunjukkan pada Tabel </w:t>
      </w:r>
      <w:r w:rsidRPr="002249FD">
        <w:rPr>
          <w:rFonts w:ascii="Times New Roman" w:hAnsi="Times New Roman"/>
          <w:sz w:val="20"/>
          <w:szCs w:val="20"/>
        </w:rPr>
        <w:t>1.</w:t>
      </w:r>
    </w:p>
    <w:p w:rsidR="00CE053D" w:rsidRDefault="00CE053D" w:rsidP="00F66727">
      <w:pPr>
        <w:pStyle w:val="ListParagraph"/>
        <w:spacing w:after="0" w:line="240" w:lineRule="auto"/>
        <w:ind w:left="0" w:firstLine="720"/>
        <w:jc w:val="both"/>
        <w:rPr>
          <w:rFonts w:ascii="Times New Roman" w:hAnsi="Times New Roman"/>
          <w:sz w:val="20"/>
          <w:szCs w:val="20"/>
        </w:rPr>
      </w:pPr>
    </w:p>
    <w:p w:rsidR="00CE053D" w:rsidRPr="00CE053D" w:rsidRDefault="00CE053D" w:rsidP="00CE053D">
      <w:pPr>
        <w:pStyle w:val="ListParagraph"/>
        <w:spacing w:after="0" w:line="240" w:lineRule="auto"/>
        <w:ind w:left="993" w:hanging="993"/>
        <w:jc w:val="both"/>
        <w:rPr>
          <w:rFonts w:ascii="Times New Roman" w:hAnsi="Times New Roman"/>
          <w:sz w:val="18"/>
          <w:szCs w:val="18"/>
        </w:rPr>
      </w:pPr>
      <w:r w:rsidRPr="00CE053D">
        <w:rPr>
          <w:rFonts w:ascii="Times New Roman" w:hAnsi="Times New Roman"/>
          <w:sz w:val="18"/>
          <w:szCs w:val="18"/>
        </w:rPr>
        <w:t>Tabel 1.  Distribusi dan Persentase Kategori Kesadaran Metakognisi Mahasiswa Jurusan Biologi Berdasarkan Jenisnya</w:t>
      </w:r>
    </w:p>
    <w:p w:rsidR="00CE053D" w:rsidRPr="002249FD" w:rsidRDefault="00CE053D" w:rsidP="00CE053D">
      <w:pPr>
        <w:pStyle w:val="ListParagraph"/>
        <w:spacing w:after="0" w:line="240" w:lineRule="auto"/>
        <w:ind w:left="0"/>
        <w:jc w:val="both"/>
        <w:rPr>
          <w:rFonts w:ascii="Times New Roman" w:hAnsi="Times New Roman"/>
          <w:sz w:val="20"/>
          <w:szCs w:val="20"/>
        </w:rPr>
      </w:pPr>
    </w:p>
    <w:tbl>
      <w:tblPr>
        <w:tblStyle w:val="TableGrid"/>
        <w:tblW w:w="5387" w:type="dxa"/>
        <w:tblInd w:w="-459" w:type="dxa"/>
        <w:tblLayout w:type="fixed"/>
        <w:tblLook w:val="04A0"/>
      </w:tblPr>
      <w:tblGrid>
        <w:gridCol w:w="1134"/>
        <w:gridCol w:w="851"/>
        <w:gridCol w:w="425"/>
        <w:gridCol w:w="709"/>
        <w:gridCol w:w="425"/>
        <w:gridCol w:w="709"/>
        <w:gridCol w:w="425"/>
        <w:gridCol w:w="709"/>
      </w:tblGrid>
      <w:tr w:rsidR="00CE053D" w:rsidRPr="0058242C" w:rsidTr="00364E87">
        <w:tc>
          <w:tcPr>
            <w:tcW w:w="1134" w:type="dxa"/>
            <w:vMerge w:val="restart"/>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Kesadaran Metakognisi</w:t>
            </w:r>
          </w:p>
        </w:tc>
        <w:tc>
          <w:tcPr>
            <w:tcW w:w="851" w:type="dxa"/>
            <w:vMerge w:val="restart"/>
          </w:tcPr>
          <w:p w:rsidR="00CE053D" w:rsidRPr="0058242C" w:rsidRDefault="00CE053D" w:rsidP="001653BC">
            <w:pPr>
              <w:pStyle w:val="ListParagraph"/>
              <w:ind w:left="0"/>
              <w:jc w:val="center"/>
              <w:rPr>
                <w:rFonts w:ascii="Times New Roman" w:hAnsi="Times New Roman"/>
                <w:sz w:val="16"/>
                <w:szCs w:val="16"/>
              </w:rPr>
            </w:pPr>
          </w:p>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Ketegori</w:t>
            </w:r>
          </w:p>
        </w:tc>
        <w:tc>
          <w:tcPr>
            <w:tcW w:w="3402" w:type="dxa"/>
            <w:gridSpan w:val="6"/>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Jalur Penerimaan</w:t>
            </w:r>
          </w:p>
        </w:tc>
      </w:tr>
      <w:tr w:rsidR="00CE053D" w:rsidRPr="0058242C" w:rsidTr="00364E87">
        <w:tc>
          <w:tcPr>
            <w:tcW w:w="1134" w:type="dxa"/>
            <w:vMerge/>
          </w:tcPr>
          <w:p w:rsidR="00CE053D" w:rsidRPr="0058242C" w:rsidRDefault="00CE053D" w:rsidP="001653BC">
            <w:pPr>
              <w:pStyle w:val="ListParagraph"/>
              <w:ind w:left="0"/>
              <w:jc w:val="center"/>
              <w:rPr>
                <w:rFonts w:ascii="Times New Roman" w:hAnsi="Times New Roman"/>
                <w:sz w:val="16"/>
                <w:szCs w:val="16"/>
              </w:rPr>
            </w:pPr>
          </w:p>
        </w:tc>
        <w:tc>
          <w:tcPr>
            <w:tcW w:w="851" w:type="dxa"/>
            <w:vMerge/>
          </w:tcPr>
          <w:p w:rsidR="00CE053D" w:rsidRPr="0058242C" w:rsidRDefault="00CE053D" w:rsidP="001653BC">
            <w:pPr>
              <w:pStyle w:val="ListParagraph"/>
              <w:ind w:left="0"/>
              <w:jc w:val="center"/>
              <w:rPr>
                <w:rFonts w:ascii="Times New Roman" w:hAnsi="Times New Roman"/>
                <w:sz w:val="16"/>
                <w:szCs w:val="16"/>
              </w:rPr>
            </w:pPr>
          </w:p>
        </w:tc>
        <w:tc>
          <w:tcPr>
            <w:tcW w:w="1134" w:type="dxa"/>
            <w:gridSpan w:val="2"/>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SBMPTN</w:t>
            </w:r>
          </w:p>
        </w:tc>
        <w:tc>
          <w:tcPr>
            <w:tcW w:w="1134" w:type="dxa"/>
            <w:gridSpan w:val="2"/>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SNMPTN</w:t>
            </w:r>
          </w:p>
        </w:tc>
        <w:tc>
          <w:tcPr>
            <w:tcW w:w="1134" w:type="dxa"/>
            <w:gridSpan w:val="2"/>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MANDIRI</w:t>
            </w:r>
          </w:p>
        </w:tc>
      </w:tr>
      <w:tr w:rsidR="00CE053D" w:rsidRPr="0058242C" w:rsidTr="00364E87">
        <w:tc>
          <w:tcPr>
            <w:tcW w:w="1134" w:type="dxa"/>
            <w:vMerge/>
          </w:tcPr>
          <w:p w:rsidR="00CE053D" w:rsidRPr="0058242C" w:rsidRDefault="00CE053D" w:rsidP="001653BC">
            <w:pPr>
              <w:pStyle w:val="ListParagraph"/>
              <w:ind w:left="0"/>
              <w:jc w:val="center"/>
              <w:rPr>
                <w:rFonts w:ascii="Times New Roman" w:hAnsi="Times New Roman"/>
                <w:sz w:val="16"/>
                <w:szCs w:val="16"/>
              </w:rPr>
            </w:pPr>
          </w:p>
        </w:tc>
        <w:tc>
          <w:tcPr>
            <w:tcW w:w="851" w:type="dxa"/>
            <w:vMerge/>
          </w:tcPr>
          <w:p w:rsidR="00CE053D" w:rsidRPr="0058242C" w:rsidRDefault="00CE053D" w:rsidP="001653BC">
            <w:pPr>
              <w:pStyle w:val="ListParagraph"/>
              <w:ind w:left="0"/>
              <w:jc w:val="center"/>
              <w:rPr>
                <w:rFonts w:ascii="Times New Roman" w:hAnsi="Times New Roman"/>
                <w:sz w:val="16"/>
                <w:szCs w:val="16"/>
              </w:rPr>
            </w:pP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F</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F</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F</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w:t>
            </w:r>
          </w:p>
        </w:tc>
      </w:tr>
      <w:tr w:rsidR="00CE053D" w:rsidRPr="0058242C" w:rsidTr="00364E87">
        <w:tc>
          <w:tcPr>
            <w:tcW w:w="1134" w:type="dxa"/>
            <w:vMerge w:val="restart"/>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Pengetahuan Metakognisi</w:t>
            </w:r>
          </w:p>
        </w:tc>
        <w:tc>
          <w:tcPr>
            <w:tcW w:w="851"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Berisiko</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r>
      <w:tr w:rsidR="00CE053D" w:rsidRPr="0058242C" w:rsidTr="00364E87">
        <w:tc>
          <w:tcPr>
            <w:tcW w:w="1134" w:type="dxa"/>
            <w:vMerge/>
          </w:tcPr>
          <w:p w:rsidR="00CE053D" w:rsidRPr="0058242C" w:rsidRDefault="00CE053D" w:rsidP="001653BC">
            <w:pPr>
              <w:pStyle w:val="ListParagraph"/>
              <w:ind w:left="0"/>
              <w:jc w:val="center"/>
              <w:rPr>
                <w:rFonts w:ascii="Times New Roman" w:hAnsi="Times New Roman"/>
                <w:sz w:val="16"/>
                <w:szCs w:val="16"/>
              </w:rPr>
            </w:pPr>
          </w:p>
        </w:tc>
        <w:tc>
          <w:tcPr>
            <w:tcW w:w="851"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Belum Begitu Berkembang</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r>
      <w:tr w:rsidR="00CE053D" w:rsidRPr="0058242C" w:rsidTr="00364E87">
        <w:tc>
          <w:tcPr>
            <w:tcW w:w="1134" w:type="dxa"/>
            <w:vMerge/>
          </w:tcPr>
          <w:p w:rsidR="00CE053D" w:rsidRPr="0058242C" w:rsidRDefault="00CE053D" w:rsidP="001653BC">
            <w:pPr>
              <w:pStyle w:val="ListParagraph"/>
              <w:ind w:left="0"/>
              <w:jc w:val="center"/>
              <w:rPr>
                <w:rFonts w:ascii="Times New Roman" w:hAnsi="Times New Roman"/>
                <w:sz w:val="16"/>
                <w:szCs w:val="16"/>
              </w:rPr>
            </w:pPr>
          </w:p>
        </w:tc>
        <w:tc>
          <w:tcPr>
            <w:tcW w:w="851"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Mulai Berkembang</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2</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2,50</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3</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3,26</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1</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1,67</w:t>
            </w:r>
          </w:p>
        </w:tc>
      </w:tr>
      <w:tr w:rsidR="00CE053D" w:rsidRPr="0058242C" w:rsidTr="00364E87">
        <w:tc>
          <w:tcPr>
            <w:tcW w:w="1134" w:type="dxa"/>
            <w:vMerge/>
          </w:tcPr>
          <w:p w:rsidR="00CE053D" w:rsidRPr="0058242C" w:rsidRDefault="00CE053D" w:rsidP="001653BC">
            <w:pPr>
              <w:pStyle w:val="ListParagraph"/>
              <w:ind w:left="0"/>
              <w:jc w:val="center"/>
              <w:rPr>
                <w:rFonts w:ascii="Times New Roman" w:hAnsi="Times New Roman"/>
                <w:sz w:val="16"/>
                <w:szCs w:val="16"/>
              </w:rPr>
            </w:pPr>
          </w:p>
        </w:tc>
        <w:tc>
          <w:tcPr>
            <w:tcW w:w="851"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Berkembang Baik</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63</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78,75</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68</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73,91</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42</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70,00</w:t>
            </w:r>
          </w:p>
        </w:tc>
      </w:tr>
      <w:tr w:rsidR="00CE053D" w:rsidRPr="0058242C" w:rsidTr="00364E87">
        <w:tc>
          <w:tcPr>
            <w:tcW w:w="1134" w:type="dxa"/>
            <w:vMerge/>
          </w:tcPr>
          <w:p w:rsidR="00CE053D" w:rsidRPr="0058242C" w:rsidRDefault="00CE053D" w:rsidP="001653BC">
            <w:pPr>
              <w:pStyle w:val="ListParagraph"/>
              <w:ind w:left="0"/>
              <w:jc w:val="center"/>
              <w:rPr>
                <w:rFonts w:ascii="Times New Roman" w:hAnsi="Times New Roman"/>
                <w:sz w:val="16"/>
                <w:szCs w:val="16"/>
              </w:rPr>
            </w:pPr>
          </w:p>
        </w:tc>
        <w:tc>
          <w:tcPr>
            <w:tcW w:w="851"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Berkembang Sangat Baik</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15</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18,75</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21</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22,83</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17</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28,33</w:t>
            </w:r>
          </w:p>
        </w:tc>
      </w:tr>
      <w:tr w:rsidR="00CE053D" w:rsidRPr="0058242C" w:rsidTr="00364E87">
        <w:tc>
          <w:tcPr>
            <w:tcW w:w="1134" w:type="dxa"/>
            <w:vMerge/>
          </w:tcPr>
          <w:p w:rsidR="00CE053D" w:rsidRPr="0058242C" w:rsidRDefault="00CE053D" w:rsidP="001653BC">
            <w:pPr>
              <w:pStyle w:val="ListParagraph"/>
              <w:ind w:left="0"/>
              <w:jc w:val="center"/>
              <w:rPr>
                <w:rFonts w:ascii="Times New Roman" w:hAnsi="Times New Roman"/>
                <w:b/>
                <w:sz w:val="16"/>
                <w:szCs w:val="16"/>
              </w:rPr>
            </w:pPr>
          </w:p>
        </w:tc>
        <w:tc>
          <w:tcPr>
            <w:tcW w:w="851" w:type="dxa"/>
          </w:tcPr>
          <w:p w:rsidR="00CE053D" w:rsidRPr="0058242C" w:rsidRDefault="00CE053D" w:rsidP="001653BC">
            <w:pPr>
              <w:pStyle w:val="ListParagraph"/>
              <w:ind w:left="0"/>
              <w:jc w:val="center"/>
              <w:rPr>
                <w:rFonts w:ascii="Times New Roman" w:hAnsi="Times New Roman"/>
                <w:b/>
                <w:sz w:val="16"/>
                <w:szCs w:val="16"/>
              </w:rPr>
            </w:pPr>
            <w:r w:rsidRPr="0058242C">
              <w:rPr>
                <w:rFonts w:ascii="Times New Roman" w:hAnsi="Times New Roman"/>
                <w:b/>
                <w:sz w:val="16"/>
                <w:szCs w:val="16"/>
              </w:rPr>
              <w:t>Jumlah</w:t>
            </w:r>
          </w:p>
        </w:tc>
        <w:tc>
          <w:tcPr>
            <w:tcW w:w="425" w:type="dxa"/>
          </w:tcPr>
          <w:p w:rsidR="00CE053D" w:rsidRPr="0058242C" w:rsidRDefault="00CE053D" w:rsidP="001653BC">
            <w:pPr>
              <w:pStyle w:val="ListParagraph"/>
              <w:ind w:left="0"/>
              <w:jc w:val="center"/>
              <w:rPr>
                <w:rFonts w:ascii="Times New Roman" w:hAnsi="Times New Roman"/>
                <w:b/>
                <w:sz w:val="16"/>
                <w:szCs w:val="16"/>
              </w:rPr>
            </w:pPr>
            <w:r w:rsidRPr="0058242C">
              <w:rPr>
                <w:rFonts w:ascii="Times New Roman" w:hAnsi="Times New Roman"/>
                <w:b/>
                <w:sz w:val="16"/>
                <w:szCs w:val="16"/>
              </w:rPr>
              <w:t>80</w:t>
            </w:r>
          </w:p>
        </w:tc>
        <w:tc>
          <w:tcPr>
            <w:tcW w:w="709" w:type="dxa"/>
          </w:tcPr>
          <w:p w:rsidR="00CE053D" w:rsidRPr="0058242C" w:rsidRDefault="00CE053D" w:rsidP="001653BC">
            <w:pPr>
              <w:pStyle w:val="ListParagraph"/>
              <w:ind w:left="0"/>
              <w:jc w:val="center"/>
              <w:rPr>
                <w:rFonts w:ascii="Times New Roman" w:hAnsi="Times New Roman"/>
                <w:b/>
                <w:sz w:val="16"/>
                <w:szCs w:val="16"/>
              </w:rPr>
            </w:pPr>
            <w:r w:rsidRPr="0058242C">
              <w:rPr>
                <w:rFonts w:ascii="Times New Roman" w:hAnsi="Times New Roman"/>
                <w:b/>
                <w:sz w:val="16"/>
                <w:szCs w:val="16"/>
              </w:rPr>
              <w:t>100</w:t>
            </w:r>
          </w:p>
        </w:tc>
        <w:tc>
          <w:tcPr>
            <w:tcW w:w="425" w:type="dxa"/>
          </w:tcPr>
          <w:p w:rsidR="00CE053D" w:rsidRPr="0058242C" w:rsidRDefault="00CE053D" w:rsidP="001653BC">
            <w:pPr>
              <w:pStyle w:val="ListParagraph"/>
              <w:ind w:left="0"/>
              <w:jc w:val="center"/>
              <w:rPr>
                <w:rFonts w:ascii="Times New Roman" w:hAnsi="Times New Roman"/>
                <w:b/>
                <w:sz w:val="16"/>
                <w:szCs w:val="16"/>
              </w:rPr>
            </w:pPr>
            <w:r w:rsidRPr="0058242C">
              <w:rPr>
                <w:rFonts w:ascii="Times New Roman" w:hAnsi="Times New Roman"/>
                <w:b/>
                <w:sz w:val="16"/>
                <w:szCs w:val="16"/>
              </w:rPr>
              <w:t>92</w:t>
            </w:r>
          </w:p>
        </w:tc>
        <w:tc>
          <w:tcPr>
            <w:tcW w:w="709" w:type="dxa"/>
          </w:tcPr>
          <w:p w:rsidR="00CE053D" w:rsidRPr="0058242C" w:rsidRDefault="00CE053D" w:rsidP="001653BC">
            <w:pPr>
              <w:pStyle w:val="ListParagraph"/>
              <w:ind w:left="0"/>
              <w:jc w:val="center"/>
              <w:rPr>
                <w:rFonts w:ascii="Times New Roman" w:hAnsi="Times New Roman"/>
                <w:b/>
                <w:sz w:val="16"/>
                <w:szCs w:val="16"/>
              </w:rPr>
            </w:pPr>
            <w:r w:rsidRPr="0058242C">
              <w:rPr>
                <w:rFonts w:ascii="Times New Roman" w:hAnsi="Times New Roman"/>
                <w:b/>
                <w:sz w:val="16"/>
                <w:szCs w:val="16"/>
              </w:rPr>
              <w:t>100</w:t>
            </w:r>
          </w:p>
        </w:tc>
        <w:tc>
          <w:tcPr>
            <w:tcW w:w="425" w:type="dxa"/>
          </w:tcPr>
          <w:p w:rsidR="00CE053D" w:rsidRPr="0058242C" w:rsidRDefault="00CE053D" w:rsidP="001653BC">
            <w:pPr>
              <w:pStyle w:val="ListParagraph"/>
              <w:ind w:left="0"/>
              <w:jc w:val="center"/>
              <w:rPr>
                <w:rFonts w:ascii="Times New Roman" w:hAnsi="Times New Roman"/>
                <w:b/>
                <w:sz w:val="16"/>
                <w:szCs w:val="16"/>
              </w:rPr>
            </w:pPr>
            <w:r w:rsidRPr="0058242C">
              <w:rPr>
                <w:rFonts w:ascii="Times New Roman" w:hAnsi="Times New Roman"/>
                <w:b/>
                <w:sz w:val="16"/>
                <w:szCs w:val="16"/>
              </w:rPr>
              <w:t>60</w:t>
            </w:r>
          </w:p>
        </w:tc>
        <w:tc>
          <w:tcPr>
            <w:tcW w:w="709" w:type="dxa"/>
          </w:tcPr>
          <w:p w:rsidR="00CE053D" w:rsidRPr="0058242C" w:rsidRDefault="00CE053D" w:rsidP="001653BC">
            <w:pPr>
              <w:pStyle w:val="ListParagraph"/>
              <w:ind w:left="0"/>
              <w:jc w:val="center"/>
              <w:rPr>
                <w:rFonts w:ascii="Times New Roman" w:hAnsi="Times New Roman"/>
                <w:b/>
                <w:sz w:val="16"/>
                <w:szCs w:val="16"/>
              </w:rPr>
            </w:pPr>
            <w:r w:rsidRPr="0058242C">
              <w:rPr>
                <w:rFonts w:ascii="Times New Roman" w:hAnsi="Times New Roman"/>
                <w:b/>
                <w:sz w:val="16"/>
                <w:szCs w:val="16"/>
              </w:rPr>
              <w:t>100</w:t>
            </w:r>
          </w:p>
        </w:tc>
      </w:tr>
      <w:tr w:rsidR="00CE053D" w:rsidRPr="0058242C" w:rsidTr="00364E87">
        <w:tc>
          <w:tcPr>
            <w:tcW w:w="1134" w:type="dxa"/>
            <w:vMerge w:val="restart"/>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Regulasi Metakognisi</w:t>
            </w:r>
          </w:p>
          <w:p w:rsidR="00CE053D" w:rsidRPr="0058242C" w:rsidRDefault="00CE053D" w:rsidP="001653BC">
            <w:pPr>
              <w:tabs>
                <w:tab w:val="left" w:pos="701"/>
              </w:tabs>
              <w:rPr>
                <w:sz w:val="16"/>
                <w:szCs w:val="16"/>
              </w:rPr>
            </w:pPr>
            <w:r w:rsidRPr="0058242C">
              <w:rPr>
                <w:sz w:val="16"/>
                <w:szCs w:val="16"/>
              </w:rPr>
              <w:tab/>
            </w:r>
          </w:p>
        </w:tc>
        <w:tc>
          <w:tcPr>
            <w:tcW w:w="851"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Berisiko</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r>
      <w:tr w:rsidR="00CE053D" w:rsidRPr="0058242C" w:rsidTr="00364E87">
        <w:tc>
          <w:tcPr>
            <w:tcW w:w="1134" w:type="dxa"/>
            <w:vMerge/>
          </w:tcPr>
          <w:p w:rsidR="00CE053D" w:rsidRPr="0058242C" w:rsidRDefault="00CE053D" w:rsidP="001653BC">
            <w:pPr>
              <w:pStyle w:val="ListParagraph"/>
              <w:ind w:left="0"/>
              <w:jc w:val="center"/>
              <w:rPr>
                <w:rFonts w:ascii="Times New Roman" w:hAnsi="Times New Roman"/>
                <w:sz w:val="16"/>
                <w:szCs w:val="16"/>
              </w:rPr>
            </w:pPr>
          </w:p>
        </w:tc>
        <w:tc>
          <w:tcPr>
            <w:tcW w:w="851"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Belum Begitu Berkembang</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r>
      <w:tr w:rsidR="00CE053D" w:rsidRPr="0058242C" w:rsidTr="00364E87">
        <w:tc>
          <w:tcPr>
            <w:tcW w:w="1134" w:type="dxa"/>
            <w:vMerge/>
          </w:tcPr>
          <w:p w:rsidR="00CE053D" w:rsidRPr="0058242C" w:rsidRDefault="00CE053D" w:rsidP="001653BC">
            <w:pPr>
              <w:pStyle w:val="ListParagraph"/>
              <w:ind w:left="0"/>
              <w:jc w:val="center"/>
              <w:rPr>
                <w:rFonts w:ascii="Times New Roman" w:hAnsi="Times New Roman"/>
                <w:sz w:val="16"/>
                <w:szCs w:val="16"/>
              </w:rPr>
            </w:pPr>
          </w:p>
        </w:tc>
        <w:tc>
          <w:tcPr>
            <w:tcW w:w="851"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Mulai Berkemabang</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1</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1,,25</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2</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2,17</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0</w:t>
            </w:r>
          </w:p>
        </w:tc>
      </w:tr>
      <w:tr w:rsidR="00CE053D" w:rsidRPr="0058242C" w:rsidTr="00364E87">
        <w:tc>
          <w:tcPr>
            <w:tcW w:w="1134" w:type="dxa"/>
            <w:vMerge/>
          </w:tcPr>
          <w:p w:rsidR="00CE053D" w:rsidRPr="0058242C" w:rsidRDefault="00CE053D" w:rsidP="001653BC">
            <w:pPr>
              <w:pStyle w:val="ListParagraph"/>
              <w:ind w:left="0"/>
              <w:jc w:val="center"/>
              <w:rPr>
                <w:rFonts w:ascii="Times New Roman" w:hAnsi="Times New Roman"/>
                <w:sz w:val="16"/>
                <w:szCs w:val="16"/>
              </w:rPr>
            </w:pPr>
          </w:p>
        </w:tc>
        <w:tc>
          <w:tcPr>
            <w:tcW w:w="851"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Berkembang Baik</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56</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70,00</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63</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68,48</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22</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36,67</w:t>
            </w:r>
          </w:p>
        </w:tc>
      </w:tr>
      <w:tr w:rsidR="00CE053D" w:rsidRPr="0058242C" w:rsidTr="00364E87">
        <w:tc>
          <w:tcPr>
            <w:tcW w:w="1134" w:type="dxa"/>
            <w:vMerge/>
          </w:tcPr>
          <w:p w:rsidR="00CE053D" w:rsidRPr="0058242C" w:rsidRDefault="00CE053D" w:rsidP="001653BC">
            <w:pPr>
              <w:pStyle w:val="ListParagraph"/>
              <w:ind w:left="0"/>
              <w:jc w:val="center"/>
              <w:rPr>
                <w:rFonts w:ascii="Times New Roman" w:hAnsi="Times New Roman"/>
                <w:sz w:val="16"/>
                <w:szCs w:val="16"/>
              </w:rPr>
            </w:pPr>
          </w:p>
        </w:tc>
        <w:tc>
          <w:tcPr>
            <w:tcW w:w="851"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Berkembang Sangat Baik</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23</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28,75</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27</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29,35</w:t>
            </w:r>
          </w:p>
        </w:tc>
        <w:tc>
          <w:tcPr>
            <w:tcW w:w="425"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38</w:t>
            </w:r>
          </w:p>
        </w:tc>
        <w:tc>
          <w:tcPr>
            <w:tcW w:w="709" w:type="dxa"/>
          </w:tcPr>
          <w:p w:rsidR="00CE053D" w:rsidRPr="0058242C" w:rsidRDefault="00CE053D" w:rsidP="001653BC">
            <w:pPr>
              <w:pStyle w:val="ListParagraph"/>
              <w:ind w:left="0"/>
              <w:jc w:val="center"/>
              <w:rPr>
                <w:rFonts w:ascii="Times New Roman" w:hAnsi="Times New Roman"/>
                <w:sz w:val="16"/>
                <w:szCs w:val="16"/>
              </w:rPr>
            </w:pPr>
            <w:r w:rsidRPr="0058242C">
              <w:rPr>
                <w:rFonts w:ascii="Times New Roman" w:hAnsi="Times New Roman"/>
                <w:sz w:val="16"/>
                <w:szCs w:val="16"/>
              </w:rPr>
              <w:t>63,33</w:t>
            </w:r>
          </w:p>
        </w:tc>
      </w:tr>
      <w:tr w:rsidR="00CE053D" w:rsidRPr="0058242C" w:rsidTr="00364E87">
        <w:tc>
          <w:tcPr>
            <w:tcW w:w="1134" w:type="dxa"/>
            <w:vMerge/>
          </w:tcPr>
          <w:p w:rsidR="00CE053D" w:rsidRPr="0058242C" w:rsidRDefault="00CE053D" w:rsidP="001653BC">
            <w:pPr>
              <w:pStyle w:val="ListParagraph"/>
              <w:ind w:left="0"/>
              <w:jc w:val="center"/>
              <w:rPr>
                <w:rFonts w:ascii="Times New Roman" w:hAnsi="Times New Roman"/>
                <w:b/>
                <w:sz w:val="16"/>
                <w:szCs w:val="16"/>
              </w:rPr>
            </w:pPr>
          </w:p>
        </w:tc>
        <w:tc>
          <w:tcPr>
            <w:tcW w:w="851" w:type="dxa"/>
          </w:tcPr>
          <w:p w:rsidR="00CE053D" w:rsidRPr="0058242C" w:rsidRDefault="00CE053D" w:rsidP="001653BC">
            <w:pPr>
              <w:pStyle w:val="ListParagraph"/>
              <w:ind w:left="0"/>
              <w:jc w:val="center"/>
              <w:rPr>
                <w:rFonts w:ascii="Times New Roman" w:hAnsi="Times New Roman"/>
                <w:b/>
                <w:sz w:val="16"/>
                <w:szCs w:val="16"/>
              </w:rPr>
            </w:pPr>
            <w:r w:rsidRPr="0058242C">
              <w:rPr>
                <w:rFonts w:ascii="Times New Roman" w:hAnsi="Times New Roman"/>
                <w:b/>
                <w:sz w:val="16"/>
                <w:szCs w:val="16"/>
              </w:rPr>
              <w:t>Jumlah</w:t>
            </w:r>
          </w:p>
        </w:tc>
        <w:tc>
          <w:tcPr>
            <w:tcW w:w="425" w:type="dxa"/>
          </w:tcPr>
          <w:p w:rsidR="00CE053D" w:rsidRPr="0058242C" w:rsidRDefault="00CE053D" w:rsidP="001653BC">
            <w:pPr>
              <w:pStyle w:val="ListParagraph"/>
              <w:ind w:left="0"/>
              <w:jc w:val="center"/>
              <w:rPr>
                <w:rFonts w:ascii="Times New Roman" w:hAnsi="Times New Roman"/>
                <w:b/>
                <w:sz w:val="16"/>
                <w:szCs w:val="16"/>
              </w:rPr>
            </w:pPr>
            <w:r w:rsidRPr="0058242C">
              <w:rPr>
                <w:rFonts w:ascii="Times New Roman" w:hAnsi="Times New Roman"/>
                <w:b/>
                <w:sz w:val="16"/>
                <w:szCs w:val="16"/>
              </w:rPr>
              <w:t>80</w:t>
            </w:r>
          </w:p>
        </w:tc>
        <w:tc>
          <w:tcPr>
            <w:tcW w:w="709" w:type="dxa"/>
          </w:tcPr>
          <w:p w:rsidR="00CE053D" w:rsidRPr="0058242C" w:rsidRDefault="00CE053D" w:rsidP="001653BC">
            <w:pPr>
              <w:pStyle w:val="ListParagraph"/>
              <w:ind w:left="0"/>
              <w:jc w:val="center"/>
              <w:rPr>
                <w:rFonts w:ascii="Times New Roman" w:hAnsi="Times New Roman"/>
                <w:b/>
                <w:sz w:val="16"/>
                <w:szCs w:val="16"/>
              </w:rPr>
            </w:pPr>
            <w:r w:rsidRPr="0058242C">
              <w:rPr>
                <w:rFonts w:ascii="Times New Roman" w:hAnsi="Times New Roman"/>
                <w:b/>
                <w:sz w:val="16"/>
                <w:szCs w:val="16"/>
              </w:rPr>
              <w:t>100</w:t>
            </w:r>
          </w:p>
        </w:tc>
        <w:tc>
          <w:tcPr>
            <w:tcW w:w="425" w:type="dxa"/>
          </w:tcPr>
          <w:p w:rsidR="00CE053D" w:rsidRPr="0058242C" w:rsidRDefault="00CE053D" w:rsidP="001653BC">
            <w:pPr>
              <w:pStyle w:val="ListParagraph"/>
              <w:ind w:left="0"/>
              <w:jc w:val="center"/>
              <w:rPr>
                <w:rFonts w:ascii="Times New Roman" w:hAnsi="Times New Roman"/>
                <w:b/>
                <w:sz w:val="16"/>
                <w:szCs w:val="16"/>
              </w:rPr>
            </w:pPr>
            <w:r w:rsidRPr="0058242C">
              <w:rPr>
                <w:rFonts w:ascii="Times New Roman" w:hAnsi="Times New Roman"/>
                <w:b/>
                <w:sz w:val="16"/>
                <w:szCs w:val="16"/>
              </w:rPr>
              <w:t>92</w:t>
            </w:r>
          </w:p>
        </w:tc>
        <w:tc>
          <w:tcPr>
            <w:tcW w:w="709" w:type="dxa"/>
          </w:tcPr>
          <w:p w:rsidR="00CE053D" w:rsidRPr="0058242C" w:rsidRDefault="00CE053D" w:rsidP="001653BC">
            <w:pPr>
              <w:pStyle w:val="ListParagraph"/>
              <w:ind w:left="0"/>
              <w:jc w:val="center"/>
              <w:rPr>
                <w:rFonts w:ascii="Times New Roman" w:hAnsi="Times New Roman"/>
                <w:b/>
                <w:sz w:val="16"/>
                <w:szCs w:val="16"/>
              </w:rPr>
            </w:pPr>
            <w:r w:rsidRPr="0058242C">
              <w:rPr>
                <w:rFonts w:ascii="Times New Roman" w:hAnsi="Times New Roman"/>
                <w:b/>
                <w:sz w:val="16"/>
                <w:szCs w:val="16"/>
              </w:rPr>
              <w:t>100</w:t>
            </w:r>
          </w:p>
        </w:tc>
        <w:tc>
          <w:tcPr>
            <w:tcW w:w="425" w:type="dxa"/>
          </w:tcPr>
          <w:p w:rsidR="00CE053D" w:rsidRPr="0058242C" w:rsidRDefault="00CE053D" w:rsidP="001653BC">
            <w:pPr>
              <w:pStyle w:val="ListParagraph"/>
              <w:ind w:left="0"/>
              <w:jc w:val="center"/>
              <w:rPr>
                <w:rFonts w:ascii="Times New Roman" w:hAnsi="Times New Roman"/>
                <w:b/>
                <w:sz w:val="16"/>
                <w:szCs w:val="16"/>
              </w:rPr>
            </w:pPr>
            <w:r w:rsidRPr="0058242C">
              <w:rPr>
                <w:rFonts w:ascii="Times New Roman" w:hAnsi="Times New Roman"/>
                <w:b/>
                <w:sz w:val="16"/>
                <w:szCs w:val="16"/>
              </w:rPr>
              <w:t>60</w:t>
            </w:r>
          </w:p>
        </w:tc>
        <w:tc>
          <w:tcPr>
            <w:tcW w:w="709" w:type="dxa"/>
          </w:tcPr>
          <w:p w:rsidR="00CE053D" w:rsidRPr="0058242C" w:rsidRDefault="00CE053D" w:rsidP="001653BC">
            <w:pPr>
              <w:pStyle w:val="ListParagraph"/>
              <w:ind w:left="0"/>
              <w:jc w:val="center"/>
              <w:rPr>
                <w:rFonts w:ascii="Times New Roman" w:hAnsi="Times New Roman"/>
                <w:b/>
                <w:sz w:val="16"/>
                <w:szCs w:val="16"/>
              </w:rPr>
            </w:pPr>
            <w:r w:rsidRPr="0058242C">
              <w:rPr>
                <w:rFonts w:ascii="Times New Roman" w:hAnsi="Times New Roman"/>
                <w:b/>
                <w:sz w:val="16"/>
                <w:szCs w:val="16"/>
              </w:rPr>
              <w:t>100</w:t>
            </w:r>
          </w:p>
        </w:tc>
      </w:tr>
    </w:tbl>
    <w:p w:rsidR="002249FD" w:rsidRPr="002249FD" w:rsidRDefault="002249FD" w:rsidP="00F66727">
      <w:pPr>
        <w:pStyle w:val="ListParagraph"/>
        <w:spacing w:after="0" w:line="240" w:lineRule="auto"/>
        <w:ind w:left="0" w:firstLine="720"/>
        <w:jc w:val="both"/>
        <w:rPr>
          <w:rFonts w:ascii="Times New Roman" w:hAnsi="Times New Roman"/>
          <w:sz w:val="20"/>
          <w:szCs w:val="20"/>
        </w:rPr>
      </w:pPr>
    </w:p>
    <w:p w:rsidR="002249FD" w:rsidRPr="002249FD" w:rsidRDefault="002249FD" w:rsidP="00F66727">
      <w:pPr>
        <w:pStyle w:val="ListParagraph"/>
        <w:spacing w:after="0" w:line="240" w:lineRule="auto"/>
        <w:ind w:left="0" w:firstLine="720"/>
        <w:jc w:val="both"/>
        <w:rPr>
          <w:rFonts w:ascii="Times New Roman" w:hAnsi="Times New Roman"/>
          <w:sz w:val="20"/>
          <w:szCs w:val="20"/>
        </w:rPr>
      </w:pPr>
    </w:p>
    <w:p w:rsidR="002249FD" w:rsidRPr="002249FD" w:rsidRDefault="002249FD" w:rsidP="00F66727">
      <w:pPr>
        <w:pStyle w:val="ListParagraph"/>
        <w:spacing w:after="0" w:line="240" w:lineRule="auto"/>
        <w:ind w:left="0" w:firstLine="720"/>
        <w:jc w:val="both"/>
        <w:rPr>
          <w:rFonts w:ascii="Times New Roman" w:hAnsi="Times New Roman"/>
          <w:sz w:val="20"/>
          <w:szCs w:val="20"/>
        </w:rPr>
      </w:pPr>
    </w:p>
    <w:p w:rsidR="002249FD" w:rsidRDefault="002249FD" w:rsidP="00F66727">
      <w:pPr>
        <w:pStyle w:val="ListParagraph"/>
        <w:spacing w:after="0" w:line="240" w:lineRule="auto"/>
        <w:ind w:left="0" w:firstLine="720"/>
        <w:jc w:val="both"/>
        <w:rPr>
          <w:rFonts w:ascii="Times New Roman" w:hAnsi="Times New Roman"/>
          <w:sz w:val="20"/>
          <w:szCs w:val="20"/>
        </w:rPr>
      </w:pPr>
    </w:p>
    <w:p w:rsidR="00DB4724" w:rsidRDefault="00DB4724" w:rsidP="00F66727">
      <w:pPr>
        <w:pStyle w:val="ListParagraph"/>
        <w:spacing w:after="0" w:line="240" w:lineRule="auto"/>
        <w:ind w:left="0" w:firstLine="720"/>
        <w:jc w:val="both"/>
        <w:rPr>
          <w:rFonts w:ascii="Times New Roman" w:hAnsi="Times New Roman"/>
          <w:sz w:val="20"/>
          <w:szCs w:val="20"/>
        </w:rPr>
      </w:pPr>
    </w:p>
    <w:p w:rsidR="00DB4724" w:rsidRPr="002249FD" w:rsidRDefault="00DB4724" w:rsidP="00F66727">
      <w:pPr>
        <w:pStyle w:val="ListParagraph"/>
        <w:spacing w:after="0" w:line="240" w:lineRule="auto"/>
        <w:ind w:left="0" w:firstLine="720"/>
        <w:jc w:val="both"/>
        <w:rPr>
          <w:rFonts w:ascii="Times New Roman" w:hAnsi="Times New Roman"/>
          <w:sz w:val="20"/>
          <w:szCs w:val="20"/>
        </w:rPr>
      </w:pPr>
    </w:p>
    <w:p w:rsidR="002249FD" w:rsidRPr="002249FD" w:rsidRDefault="002249FD" w:rsidP="00F66727">
      <w:pPr>
        <w:pStyle w:val="ListParagraph"/>
        <w:spacing w:after="0" w:line="240" w:lineRule="auto"/>
        <w:ind w:left="0" w:firstLine="720"/>
        <w:jc w:val="both"/>
        <w:rPr>
          <w:rFonts w:ascii="Times New Roman" w:hAnsi="Times New Roman"/>
          <w:sz w:val="20"/>
          <w:szCs w:val="20"/>
        </w:rPr>
      </w:pPr>
    </w:p>
    <w:p w:rsidR="002249FD" w:rsidRPr="002249FD" w:rsidRDefault="002249FD" w:rsidP="00F66727">
      <w:pPr>
        <w:pStyle w:val="ListParagraph"/>
        <w:spacing w:after="0" w:line="240" w:lineRule="auto"/>
        <w:ind w:left="0" w:firstLine="720"/>
        <w:jc w:val="both"/>
        <w:rPr>
          <w:rFonts w:ascii="Times New Roman" w:hAnsi="Times New Roman"/>
          <w:sz w:val="20"/>
          <w:szCs w:val="20"/>
        </w:rPr>
      </w:pPr>
    </w:p>
    <w:p w:rsidR="002249FD" w:rsidRPr="002249FD" w:rsidRDefault="002249FD" w:rsidP="00F66727">
      <w:pPr>
        <w:pStyle w:val="ListParagraph"/>
        <w:spacing w:after="0" w:line="240" w:lineRule="auto"/>
        <w:ind w:left="0" w:firstLine="720"/>
        <w:jc w:val="both"/>
        <w:rPr>
          <w:rFonts w:ascii="Times New Roman" w:hAnsi="Times New Roman"/>
          <w:sz w:val="20"/>
          <w:szCs w:val="20"/>
        </w:rPr>
      </w:pPr>
    </w:p>
    <w:p w:rsidR="002249FD" w:rsidRDefault="002249FD" w:rsidP="00F66727">
      <w:pPr>
        <w:jc w:val="both"/>
        <w:rPr>
          <w:sz w:val="20"/>
          <w:szCs w:val="20"/>
        </w:rPr>
      </w:pPr>
      <w:r w:rsidRPr="002249FD">
        <w:rPr>
          <w:sz w:val="20"/>
          <w:szCs w:val="20"/>
        </w:rPr>
        <w:tab/>
        <w:t>Berdasarkan Tabel  1, terlihat bahwa pada umumnya mahasiswa Jurusan Biologi memiliki pengetahuan metakognisi dan regulasi metakognisi dengan kategori ‘berkembang baik’ pada ketiga jalur penerimaan mahasiswa. Pengetahuan metakognisi secara berturut-turut adalah jalur SBMPTN sebesar 78,55%; jalur SNMPTN sebesar 73,91%; dan jalur Mandiri sebesar 70,00%. Sedangkan pada regulasi metakognisi berturut-turut adalah jalur SBMPTN sebesar 70,00%; jalur SNMPTN sebesar 68,48%; dan jalur Mandiri sebesar  36,67%. Bahkan, mahasiswa Jurusan Biologi sudah ada yang memiliki pengetahuan dan regulasi metakognisi dengan kategori “berkembang sangat baik’. Pada data tersebut khususnya pada jalur mandiri, mahasiswa yang memiliki regulasi metakognisi dengan kategori “berkembang sangat baik” sebesar 63,33% lebih banyak dibanding dengan kategori “berkembang baik”. Walaupun demikian, mahasiswa Jurusan Biologi masih ada yang memiliki pengetahuan dan regulasi metakognisi dengan kategori “mulai berkembang”.</w:t>
      </w:r>
    </w:p>
    <w:p w:rsidR="000A1ADC" w:rsidRDefault="00B76889" w:rsidP="00F66727">
      <w:pPr>
        <w:jc w:val="both"/>
        <w:rPr>
          <w:sz w:val="20"/>
          <w:szCs w:val="20"/>
        </w:rPr>
      </w:pPr>
      <w:r>
        <w:rPr>
          <w:noProof/>
          <w:sz w:val="20"/>
          <w:szCs w:val="20"/>
          <w:lang w:eastAsia="en-US"/>
        </w:rPr>
        <w:pict>
          <v:shapetype id="_x0000_t202" coordsize="21600,21600" o:spt="202" path="m,l,21600r21600,l21600,xe">
            <v:stroke joinstyle="miter"/>
            <v:path gradientshapeok="t" o:connecttype="rect"/>
          </v:shapetype>
          <v:shape id="_x0000_s1027" type="#_x0000_t202" style="position:absolute;left:0;text-align:left;margin-left:.5pt;margin-top:7.75pt;width:272.8pt;height:174.7pt;z-index:251658240" stroked="f">
            <v:textbox>
              <w:txbxContent>
                <w:p w:rsidR="00275941" w:rsidRDefault="00070C83">
                  <w:r w:rsidRPr="00070C83">
                    <w:rPr>
                      <w:noProof/>
                      <w:lang w:eastAsia="en-US"/>
                    </w:rPr>
                    <w:drawing>
                      <wp:inline distT="0" distB="0" distL="0" distR="0">
                        <wp:extent cx="3329609" cy="2126974"/>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p>
    <w:p w:rsidR="000A1ADC" w:rsidRDefault="000A1ADC" w:rsidP="00F66727">
      <w:pPr>
        <w:jc w:val="both"/>
        <w:rPr>
          <w:sz w:val="20"/>
          <w:szCs w:val="20"/>
        </w:rPr>
      </w:pPr>
    </w:p>
    <w:p w:rsidR="00275941" w:rsidRDefault="00275941" w:rsidP="00F66727">
      <w:pPr>
        <w:jc w:val="both"/>
        <w:rPr>
          <w:sz w:val="20"/>
          <w:szCs w:val="20"/>
        </w:rPr>
      </w:pPr>
    </w:p>
    <w:p w:rsidR="00275941" w:rsidRDefault="00275941" w:rsidP="00F66727">
      <w:pPr>
        <w:jc w:val="both"/>
        <w:rPr>
          <w:sz w:val="20"/>
          <w:szCs w:val="20"/>
        </w:rPr>
      </w:pPr>
    </w:p>
    <w:p w:rsidR="00275941" w:rsidRDefault="00275941" w:rsidP="00F66727">
      <w:pPr>
        <w:jc w:val="both"/>
        <w:rPr>
          <w:sz w:val="20"/>
          <w:szCs w:val="20"/>
        </w:rPr>
      </w:pPr>
    </w:p>
    <w:p w:rsidR="00275941" w:rsidRDefault="00275941" w:rsidP="00F66727">
      <w:pPr>
        <w:jc w:val="both"/>
        <w:rPr>
          <w:sz w:val="20"/>
          <w:szCs w:val="20"/>
        </w:rPr>
      </w:pPr>
    </w:p>
    <w:p w:rsidR="00275941" w:rsidRDefault="00275941" w:rsidP="00F66727">
      <w:pPr>
        <w:jc w:val="both"/>
        <w:rPr>
          <w:sz w:val="20"/>
          <w:szCs w:val="20"/>
        </w:rPr>
      </w:pPr>
    </w:p>
    <w:p w:rsidR="00275941" w:rsidRDefault="00275941" w:rsidP="00F66727">
      <w:pPr>
        <w:jc w:val="both"/>
        <w:rPr>
          <w:sz w:val="20"/>
          <w:szCs w:val="20"/>
        </w:rPr>
      </w:pPr>
    </w:p>
    <w:p w:rsidR="00275941" w:rsidRDefault="00275941" w:rsidP="00F66727">
      <w:pPr>
        <w:jc w:val="both"/>
        <w:rPr>
          <w:sz w:val="20"/>
          <w:szCs w:val="20"/>
        </w:rPr>
      </w:pPr>
    </w:p>
    <w:p w:rsidR="000A1ADC" w:rsidRDefault="000A1ADC" w:rsidP="00F66727">
      <w:pPr>
        <w:jc w:val="both"/>
        <w:rPr>
          <w:sz w:val="20"/>
          <w:szCs w:val="20"/>
        </w:rPr>
      </w:pPr>
    </w:p>
    <w:p w:rsidR="00275941" w:rsidRDefault="00275941" w:rsidP="00F66727">
      <w:pPr>
        <w:jc w:val="both"/>
        <w:rPr>
          <w:color w:val="FF0000"/>
          <w:sz w:val="20"/>
          <w:szCs w:val="20"/>
        </w:rPr>
      </w:pPr>
    </w:p>
    <w:p w:rsidR="00275941" w:rsidRDefault="00275941" w:rsidP="00F66727">
      <w:pPr>
        <w:jc w:val="both"/>
        <w:rPr>
          <w:color w:val="FF0000"/>
          <w:sz w:val="20"/>
          <w:szCs w:val="20"/>
        </w:rPr>
      </w:pPr>
    </w:p>
    <w:p w:rsidR="00275941" w:rsidRDefault="00275941" w:rsidP="00F66727">
      <w:pPr>
        <w:jc w:val="both"/>
        <w:rPr>
          <w:color w:val="FF0000"/>
          <w:sz w:val="20"/>
          <w:szCs w:val="20"/>
        </w:rPr>
      </w:pPr>
    </w:p>
    <w:p w:rsidR="00275941" w:rsidRDefault="00275941" w:rsidP="00F66727">
      <w:pPr>
        <w:jc w:val="both"/>
        <w:rPr>
          <w:color w:val="FF0000"/>
          <w:sz w:val="20"/>
          <w:szCs w:val="20"/>
        </w:rPr>
      </w:pPr>
    </w:p>
    <w:p w:rsidR="00275941" w:rsidRDefault="00275941" w:rsidP="00F66727">
      <w:pPr>
        <w:jc w:val="both"/>
        <w:rPr>
          <w:color w:val="FF0000"/>
          <w:sz w:val="20"/>
          <w:szCs w:val="20"/>
        </w:rPr>
      </w:pPr>
    </w:p>
    <w:p w:rsidR="00B4505A" w:rsidRDefault="00B4505A" w:rsidP="00364E87">
      <w:pPr>
        <w:ind w:left="1134" w:hanging="1134"/>
        <w:jc w:val="both"/>
        <w:rPr>
          <w:sz w:val="20"/>
          <w:szCs w:val="20"/>
        </w:rPr>
      </w:pPr>
    </w:p>
    <w:p w:rsidR="00070C83" w:rsidRPr="00070C83" w:rsidRDefault="00070C83" w:rsidP="00364E87">
      <w:pPr>
        <w:ind w:left="1134" w:hanging="1134"/>
        <w:jc w:val="both"/>
        <w:rPr>
          <w:sz w:val="20"/>
          <w:szCs w:val="20"/>
        </w:rPr>
      </w:pPr>
      <w:r w:rsidRPr="00070C83">
        <w:rPr>
          <w:sz w:val="20"/>
          <w:szCs w:val="20"/>
        </w:rPr>
        <w:t>Gambar. 1 Grafik Kesadaran Metakognisi Mahasiswa Jurusan Biolog Berdasarkan Jenis Metakognisi</w:t>
      </w:r>
    </w:p>
    <w:p w:rsidR="00070C83" w:rsidRPr="00070C83" w:rsidRDefault="00070C83" w:rsidP="00F66727">
      <w:pPr>
        <w:rPr>
          <w:i/>
          <w:sz w:val="18"/>
          <w:szCs w:val="18"/>
        </w:rPr>
      </w:pPr>
      <w:r w:rsidRPr="00070C83">
        <w:rPr>
          <w:i/>
          <w:sz w:val="18"/>
          <w:szCs w:val="18"/>
        </w:rPr>
        <w:t>Keterangan:</w:t>
      </w:r>
    </w:p>
    <w:p w:rsidR="00070C83" w:rsidRPr="00070C83" w:rsidRDefault="00070C83" w:rsidP="00F66727">
      <w:pPr>
        <w:rPr>
          <w:i/>
          <w:sz w:val="18"/>
          <w:szCs w:val="18"/>
        </w:rPr>
      </w:pPr>
      <w:r w:rsidRPr="00070C83">
        <w:rPr>
          <w:i/>
          <w:sz w:val="18"/>
          <w:szCs w:val="18"/>
        </w:rPr>
        <w:t>B</w:t>
      </w:r>
      <w:r w:rsidRPr="00070C83">
        <w:rPr>
          <w:i/>
          <w:sz w:val="18"/>
          <w:szCs w:val="18"/>
        </w:rPr>
        <w:tab/>
        <w:t>: Masih berisiko</w:t>
      </w:r>
    </w:p>
    <w:p w:rsidR="00070C83" w:rsidRPr="00070C83" w:rsidRDefault="00070C83" w:rsidP="00F66727">
      <w:pPr>
        <w:rPr>
          <w:i/>
          <w:sz w:val="18"/>
          <w:szCs w:val="18"/>
        </w:rPr>
      </w:pPr>
      <w:r w:rsidRPr="00070C83">
        <w:rPr>
          <w:i/>
          <w:sz w:val="18"/>
          <w:szCs w:val="18"/>
        </w:rPr>
        <w:t>BBK</w:t>
      </w:r>
      <w:r w:rsidRPr="00070C83">
        <w:rPr>
          <w:i/>
          <w:sz w:val="18"/>
          <w:szCs w:val="18"/>
        </w:rPr>
        <w:tab/>
        <w:t>: Belum begitu berkembang</w:t>
      </w:r>
    </w:p>
    <w:p w:rsidR="00070C83" w:rsidRPr="00070C83" w:rsidRDefault="00070C83" w:rsidP="00F66727">
      <w:pPr>
        <w:rPr>
          <w:i/>
          <w:sz w:val="18"/>
          <w:szCs w:val="18"/>
        </w:rPr>
      </w:pPr>
      <w:r w:rsidRPr="00070C83">
        <w:rPr>
          <w:i/>
          <w:sz w:val="18"/>
          <w:szCs w:val="18"/>
        </w:rPr>
        <w:t>MB</w:t>
      </w:r>
      <w:r w:rsidRPr="00070C83">
        <w:rPr>
          <w:i/>
          <w:sz w:val="18"/>
          <w:szCs w:val="18"/>
        </w:rPr>
        <w:tab/>
        <w:t>: Mulai berkembang</w:t>
      </w:r>
    </w:p>
    <w:p w:rsidR="00070C83" w:rsidRPr="00070C83" w:rsidRDefault="00070C83" w:rsidP="00F66727">
      <w:pPr>
        <w:rPr>
          <w:i/>
          <w:sz w:val="18"/>
          <w:szCs w:val="18"/>
        </w:rPr>
      </w:pPr>
      <w:r w:rsidRPr="00070C83">
        <w:rPr>
          <w:i/>
          <w:sz w:val="18"/>
          <w:szCs w:val="18"/>
        </w:rPr>
        <w:t>BB</w:t>
      </w:r>
      <w:r w:rsidRPr="00070C83">
        <w:rPr>
          <w:i/>
          <w:sz w:val="18"/>
          <w:szCs w:val="18"/>
        </w:rPr>
        <w:tab/>
        <w:t>: Berkembang baik</w:t>
      </w:r>
    </w:p>
    <w:p w:rsidR="00070C83" w:rsidRPr="00070C83" w:rsidRDefault="00070C83" w:rsidP="00F66727">
      <w:pPr>
        <w:rPr>
          <w:i/>
          <w:sz w:val="18"/>
          <w:szCs w:val="18"/>
        </w:rPr>
      </w:pPr>
      <w:r w:rsidRPr="00070C83">
        <w:rPr>
          <w:i/>
          <w:sz w:val="18"/>
          <w:szCs w:val="18"/>
        </w:rPr>
        <w:t>BSB</w:t>
      </w:r>
      <w:r w:rsidRPr="00070C83">
        <w:rPr>
          <w:i/>
          <w:sz w:val="18"/>
          <w:szCs w:val="18"/>
        </w:rPr>
        <w:tab/>
        <w:t>: Berkembang sangat baik</w:t>
      </w:r>
    </w:p>
    <w:p w:rsidR="00070C83" w:rsidRPr="00233398" w:rsidRDefault="00070C83" w:rsidP="00F66727">
      <w:pPr>
        <w:rPr>
          <w:i/>
        </w:rPr>
      </w:pPr>
    </w:p>
    <w:p w:rsidR="002249FD" w:rsidRPr="002249FD" w:rsidRDefault="002249FD" w:rsidP="00F66727">
      <w:pPr>
        <w:pStyle w:val="ListParagraph"/>
        <w:numPr>
          <w:ilvl w:val="0"/>
          <w:numId w:val="5"/>
        </w:numPr>
        <w:spacing w:after="0" w:line="240" w:lineRule="auto"/>
        <w:ind w:left="426" w:hanging="426"/>
        <w:jc w:val="both"/>
        <w:rPr>
          <w:rFonts w:ascii="Times New Roman" w:hAnsi="Times New Roman"/>
          <w:b/>
          <w:sz w:val="20"/>
          <w:szCs w:val="20"/>
        </w:rPr>
      </w:pPr>
      <w:r w:rsidRPr="002249FD">
        <w:rPr>
          <w:rFonts w:ascii="Times New Roman" w:hAnsi="Times New Roman"/>
          <w:b/>
          <w:sz w:val="20"/>
          <w:szCs w:val="20"/>
        </w:rPr>
        <w:t>Hasil Uji Inferensial Perbedaan Kesadaran Metakognisi antar Mahasiswa Jalur SBMPTN,  SNMPTN,  dan Mandiri</w:t>
      </w:r>
    </w:p>
    <w:p w:rsidR="002249FD" w:rsidRPr="002249FD" w:rsidRDefault="002249FD" w:rsidP="00F66727">
      <w:pPr>
        <w:pStyle w:val="ListParagraph"/>
        <w:spacing w:after="0" w:line="240" w:lineRule="auto"/>
        <w:ind w:left="0" w:firstLine="720"/>
        <w:jc w:val="both"/>
        <w:rPr>
          <w:rFonts w:ascii="Times New Roman" w:hAnsi="Times New Roman"/>
          <w:sz w:val="20"/>
          <w:szCs w:val="20"/>
        </w:rPr>
      </w:pPr>
    </w:p>
    <w:p w:rsidR="002249FD" w:rsidRDefault="002249FD" w:rsidP="00F66727">
      <w:pPr>
        <w:ind w:firstLine="567"/>
        <w:jc w:val="both"/>
        <w:rPr>
          <w:sz w:val="20"/>
          <w:szCs w:val="20"/>
        </w:rPr>
      </w:pPr>
      <w:r w:rsidRPr="002249FD">
        <w:rPr>
          <w:sz w:val="20"/>
          <w:szCs w:val="20"/>
        </w:rPr>
        <w:t>Hasil uji inferensial perbedaan kesadaran metakognisi mahasiswa Jurusan Biologi pada jalur SBMPTN, SNMPTN, dan Mandiri ditunjukkan pada Tabel 2.</w:t>
      </w:r>
    </w:p>
    <w:p w:rsidR="005B1023" w:rsidRDefault="005B1023" w:rsidP="00F66727">
      <w:pPr>
        <w:ind w:firstLine="567"/>
        <w:jc w:val="both"/>
        <w:rPr>
          <w:sz w:val="20"/>
          <w:szCs w:val="20"/>
        </w:rPr>
      </w:pPr>
    </w:p>
    <w:p w:rsidR="005B1023" w:rsidRDefault="005B1023" w:rsidP="00F66727">
      <w:pPr>
        <w:ind w:firstLine="567"/>
        <w:jc w:val="both"/>
        <w:rPr>
          <w:sz w:val="20"/>
          <w:szCs w:val="20"/>
        </w:rPr>
      </w:pPr>
    </w:p>
    <w:p w:rsidR="005B1023" w:rsidRDefault="005B1023" w:rsidP="00F66727">
      <w:pPr>
        <w:ind w:firstLine="567"/>
        <w:jc w:val="both"/>
        <w:rPr>
          <w:sz w:val="20"/>
          <w:szCs w:val="20"/>
        </w:rPr>
      </w:pPr>
    </w:p>
    <w:p w:rsidR="00364E87" w:rsidRDefault="00364E87" w:rsidP="00F66727">
      <w:pPr>
        <w:ind w:firstLine="567"/>
        <w:jc w:val="both"/>
        <w:rPr>
          <w:sz w:val="20"/>
          <w:szCs w:val="20"/>
        </w:rPr>
      </w:pPr>
    </w:p>
    <w:p w:rsidR="00364E87" w:rsidRDefault="00364E87" w:rsidP="00F66727">
      <w:pPr>
        <w:ind w:firstLine="567"/>
        <w:jc w:val="both"/>
        <w:rPr>
          <w:sz w:val="20"/>
          <w:szCs w:val="20"/>
        </w:rPr>
      </w:pPr>
    </w:p>
    <w:p w:rsidR="005B1023" w:rsidRDefault="005B1023" w:rsidP="00F66727">
      <w:pPr>
        <w:ind w:firstLine="567"/>
        <w:jc w:val="both"/>
        <w:rPr>
          <w:sz w:val="20"/>
          <w:szCs w:val="20"/>
        </w:rPr>
      </w:pPr>
    </w:p>
    <w:p w:rsidR="005B1023" w:rsidRPr="002249FD" w:rsidRDefault="005B1023" w:rsidP="00F66727">
      <w:pPr>
        <w:ind w:firstLine="567"/>
        <w:jc w:val="both"/>
        <w:rPr>
          <w:sz w:val="20"/>
          <w:szCs w:val="20"/>
        </w:rPr>
      </w:pPr>
    </w:p>
    <w:p w:rsidR="000A1ADC" w:rsidRDefault="000A1ADC" w:rsidP="005B1023">
      <w:pPr>
        <w:ind w:left="851" w:hanging="709"/>
        <w:rPr>
          <w:sz w:val="18"/>
          <w:szCs w:val="18"/>
        </w:rPr>
      </w:pPr>
      <w:r w:rsidRPr="000A1ADC">
        <w:rPr>
          <w:sz w:val="18"/>
          <w:szCs w:val="18"/>
        </w:rPr>
        <w:t>Tabel 2.  Hasil Uji Anova Kesadaran Metakognisi Mahasiswa Jurusan Biologi</w:t>
      </w:r>
    </w:p>
    <w:p w:rsidR="000A1ADC" w:rsidRPr="000A1ADC" w:rsidRDefault="000A1ADC" w:rsidP="00F66727">
      <w:pPr>
        <w:ind w:left="142"/>
        <w:rPr>
          <w:sz w:val="18"/>
          <w:szCs w:val="18"/>
        </w:rPr>
      </w:pPr>
    </w:p>
    <w:tbl>
      <w:tblPr>
        <w:tblW w:w="4678" w:type="dxa"/>
        <w:tblInd w:w="250" w:type="dxa"/>
        <w:tblBorders>
          <w:top w:val="single" w:sz="4" w:space="0" w:color="auto"/>
          <w:bottom w:val="single" w:sz="4" w:space="0" w:color="auto"/>
          <w:insideH w:val="single" w:sz="4" w:space="0" w:color="auto"/>
        </w:tblBorders>
        <w:tblLayout w:type="fixed"/>
        <w:tblLook w:val="04A0"/>
      </w:tblPr>
      <w:tblGrid>
        <w:gridCol w:w="709"/>
        <w:gridCol w:w="1134"/>
        <w:gridCol w:w="567"/>
        <w:gridCol w:w="992"/>
        <w:gridCol w:w="709"/>
        <w:gridCol w:w="567"/>
      </w:tblGrid>
      <w:tr w:rsidR="000A1ADC" w:rsidRPr="000A1ADC" w:rsidTr="00901F65">
        <w:trPr>
          <w:trHeight w:val="525"/>
        </w:trPr>
        <w:tc>
          <w:tcPr>
            <w:tcW w:w="709" w:type="dxa"/>
            <w:shd w:val="clear" w:color="auto" w:fill="auto"/>
            <w:vAlign w:val="bottom"/>
            <w:hideMark/>
          </w:tcPr>
          <w:p w:rsidR="000A1ADC" w:rsidRPr="000A1ADC" w:rsidRDefault="000A1ADC" w:rsidP="00F66727">
            <w:pPr>
              <w:rPr>
                <w:color w:val="000000"/>
                <w:sz w:val="16"/>
                <w:szCs w:val="16"/>
              </w:rPr>
            </w:pPr>
            <w:r w:rsidRPr="000A1ADC">
              <w:rPr>
                <w:color w:val="000000"/>
                <w:sz w:val="16"/>
                <w:szCs w:val="16"/>
              </w:rPr>
              <w:t>Source</w:t>
            </w:r>
          </w:p>
        </w:tc>
        <w:tc>
          <w:tcPr>
            <w:tcW w:w="1134" w:type="dxa"/>
            <w:shd w:val="clear" w:color="auto" w:fill="auto"/>
            <w:vAlign w:val="bottom"/>
            <w:hideMark/>
          </w:tcPr>
          <w:p w:rsidR="000A1ADC" w:rsidRPr="000A1ADC" w:rsidRDefault="000A1ADC" w:rsidP="00F66727">
            <w:pPr>
              <w:jc w:val="center"/>
              <w:rPr>
                <w:color w:val="000000"/>
                <w:sz w:val="16"/>
                <w:szCs w:val="16"/>
              </w:rPr>
            </w:pPr>
            <w:r w:rsidRPr="000A1ADC">
              <w:rPr>
                <w:color w:val="000000"/>
                <w:sz w:val="16"/>
                <w:szCs w:val="16"/>
              </w:rPr>
              <w:t>Type III Sum of Squares</w:t>
            </w:r>
          </w:p>
        </w:tc>
        <w:tc>
          <w:tcPr>
            <w:tcW w:w="567" w:type="dxa"/>
            <w:shd w:val="clear" w:color="auto" w:fill="auto"/>
            <w:vAlign w:val="bottom"/>
            <w:hideMark/>
          </w:tcPr>
          <w:p w:rsidR="000A1ADC" w:rsidRPr="000A1ADC" w:rsidRDefault="000A1ADC" w:rsidP="00F66727">
            <w:pPr>
              <w:jc w:val="center"/>
              <w:rPr>
                <w:color w:val="000000"/>
                <w:sz w:val="16"/>
                <w:szCs w:val="16"/>
              </w:rPr>
            </w:pPr>
            <w:r w:rsidRPr="000A1ADC">
              <w:rPr>
                <w:color w:val="000000"/>
                <w:sz w:val="16"/>
                <w:szCs w:val="16"/>
              </w:rPr>
              <w:t>df</w:t>
            </w:r>
          </w:p>
        </w:tc>
        <w:tc>
          <w:tcPr>
            <w:tcW w:w="992" w:type="dxa"/>
            <w:shd w:val="clear" w:color="auto" w:fill="auto"/>
            <w:vAlign w:val="bottom"/>
            <w:hideMark/>
          </w:tcPr>
          <w:p w:rsidR="000A1ADC" w:rsidRPr="000A1ADC" w:rsidRDefault="000A1ADC" w:rsidP="00F66727">
            <w:pPr>
              <w:jc w:val="center"/>
              <w:rPr>
                <w:color w:val="000000"/>
                <w:sz w:val="16"/>
                <w:szCs w:val="16"/>
              </w:rPr>
            </w:pPr>
            <w:r w:rsidRPr="000A1ADC">
              <w:rPr>
                <w:color w:val="000000"/>
                <w:sz w:val="16"/>
                <w:szCs w:val="16"/>
              </w:rPr>
              <w:t>Mean Square</w:t>
            </w:r>
          </w:p>
        </w:tc>
        <w:tc>
          <w:tcPr>
            <w:tcW w:w="709" w:type="dxa"/>
            <w:shd w:val="clear" w:color="auto" w:fill="auto"/>
            <w:vAlign w:val="bottom"/>
            <w:hideMark/>
          </w:tcPr>
          <w:p w:rsidR="000A1ADC" w:rsidRPr="000A1ADC" w:rsidRDefault="000A1ADC" w:rsidP="00F66727">
            <w:pPr>
              <w:jc w:val="center"/>
              <w:rPr>
                <w:color w:val="000000"/>
                <w:sz w:val="16"/>
                <w:szCs w:val="16"/>
              </w:rPr>
            </w:pPr>
            <w:r w:rsidRPr="000A1ADC">
              <w:rPr>
                <w:color w:val="000000"/>
                <w:sz w:val="16"/>
                <w:szCs w:val="16"/>
              </w:rPr>
              <w:t>F</w:t>
            </w:r>
          </w:p>
        </w:tc>
        <w:tc>
          <w:tcPr>
            <w:tcW w:w="567" w:type="dxa"/>
            <w:shd w:val="clear" w:color="auto" w:fill="auto"/>
            <w:vAlign w:val="bottom"/>
            <w:hideMark/>
          </w:tcPr>
          <w:p w:rsidR="000A1ADC" w:rsidRPr="000A1ADC" w:rsidRDefault="000A1ADC" w:rsidP="00F66727">
            <w:pPr>
              <w:jc w:val="center"/>
              <w:rPr>
                <w:color w:val="000000"/>
                <w:sz w:val="16"/>
                <w:szCs w:val="16"/>
              </w:rPr>
            </w:pPr>
            <w:r w:rsidRPr="000A1ADC">
              <w:rPr>
                <w:color w:val="000000"/>
                <w:sz w:val="16"/>
                <w:szCs w:val="16"/>
              </w:rPr>
              <w:t>Sig.</w:t>
            </w:r>
          </w:p>
        </w:tc>
      </w:tr>
      <w:tr w:rsidR="000A1ADC" w:rsidRPr="000A1ADC" w:rsidTr="00901F65">
        <w:trPr>
          <w:trHeight w:val="300"/>
        </w:trPr>
        <w:tc>
          <w:tcPr>
            <w:tcW w:w="709" w:type="dxa"/>
            <w:shd w:val="clear" w:color="auto" w:fill="auto"/>
            <w:hideMark/>
          </w:tcPr>
          <w:p w:rsidR="000A1ADC" w:rsidRPr="000A1ADC" w:rsidRDefault="000A1ADC" w:rsidP="00F66727">
            <w:pPr>
              <w:rPr>
                <w:color w:val="000000"/>
                <w:sz w:val="16"/>
                <w:szCs w:val="16"/>
              </w:rPr>
            </w:pPr>
            <w:r w:rsidRPr="000A1ADC">
              <w:rPr>
                <w:color w:val="000000"/>
                <w:sz w:val="16"/>
                <w:szCs w:val="16"/>
              </w:rPr>
              <w:t>Jalur</w:t>
            </w:r>
          </w:p>
        </w:tc>
        <w:tc>
          <w:tcPr>
            <w:tcW w:w="1134" w:type="dxa"/>
            <w:shd w:val="clear" w:color="auto" w:fill="auto"/>
            <w:noWrap/>
            <w:hideMark/>
          </w:tcPr>
          <w:p w:rsidR="000A1ADC" w:rsidRPr="000A1ADC" w:rsidRDefault="000A1ADC" w:rsidP="00F66727">
            <w:pPr>
              <w:jc w:val="right"/>
              <w:rPr>
                <w:color w:val="000000"/>
                <w:sz w:val="16"/>
                <w:szCs w:val="16"/>
              </w:rPr>
            </w:pPr>
            <w:r w:rsidRPr="000A1ADC">
              <w:rPr>
                <w:color w:val="000000"/>
                <w:sz w:val="16"/>
                <w:szCs w:val="16"/>
              </w:rPr>
              <w:t>255.929</w:t>
            </w:r>
          </w:p>
        </w:tc>
        <w:tc>
          <w:tcPr>
            <w:tcW w:w="567" w:type="dxa"/>
            <w:shd w:val="clear" w:color="auto" w:fill="auto"/>
            <w:noWrap/>
            <w:hideMark/>
          </w:tcPr>
          <w:p w:rsidR="000A1ADC" w:rsidRPr="000A1ADC" w:rsidRDefault="000A1ADC" w:rsidP="00F66727">
            <w:pPr>
              <w:jc w:val="right"/>
              <w:rPr>
                <w:color w:val="000000"/>
                <w:sz w:val="16"/>
                <w:szCs w:val="16"/>
              </w:rPr>
            </w:pPr>
            <w:r w:rsidRPr="000A1ADC">
              <w:rPr>
                <w:color w:val="000000"/>
                <w:sz w:val="16"/>
                <w:szCs w:val="16"/>
              </w:rPr>
              <w:t>2</w:t>
            </w:r>
          </w:p>
        </w:tc>
        <w:tc>
          <w:tcPr>
            <w:tcW w:w="992" w:type="dxa"/>
            <w:shd w:val="clear" w:color="auto" w:fill="auto"/>
            <w:noWrap/>
            <w:hideMark/>
          </w:tcPr>
          <w:p w:rsidR="000A1ADC" w:rsidRPr="000A1ADC" w:rsidRDefault="000A1ADC" w:rsidP="00F66727">
            <w:pPr>
              <w:jc w:val="right"/>
              <w:rPr>
                <w:color w:val="000000"/>
                <w:sz w:val="16"/>
                <w:szCs w:val="16"/>
              </w:rPr>
            </w:pPr>
            <w:r w:rsidRPr="000A1ADC">
              <w:rPr>
                <w:color w:val="000000"/>
                <w:sz w:val="16"/>
                <w:szCs w:val="16"/>
              </w:rPr>
              <w:t>127.964</w:t>
            </w:r>
          </w:p>
        </w:tc>
        <w:tc>
          <w:tcPr>
            <w:tcW w:w="709" w:type="dxa"/>
            <w:shd w:val="clear" w:color="auto" w:fill="auto"/>
            <w:noWrap/>
            <w:hideMark/>
          </w:tcPr>
          <w:p w:rsidR="000A1ADC" w:rsidRPr="000A1ADC" w:rsidRDefault="000A1ADC" w:rsidP="00F66727">
            <w:pPr>
              <w:jc w:val="right"/>
              <w:rPr>
                <w:color w:val="000000"/>
                <w:sz w:val="16"/>
                <w:szCs w:val="16"/>
              </w:rPr>
            </w:pPr>
            <w:r w:rsidRPr="000A1ADC">
              <w:rPr>
                <w:color w:val="000000"/>
                <w:sz w:val="16"/>
                <w:szCs w:val="16"/>
              </w:rPr>
              <w:t>.534</w:t>
            </w:r>
          </w:p>
        </w:tc>
        <w:tc>
          <w:tcPr>
            <w:tcW w:w="567" w:type="dxa"/>
            <w:shd w:val="clear" w:color="auto" w:fill="auto"/>
            <w:noWrap/>
            <w:hideMark/>
          </w:tcPr>
          <w:p w:rsidR="000A1ADC" w:rsidRPr="000A1ADC" w:rsidRDefault="000A1ADC" w:rsidP="00F66727">
            <w:pPr>
              <w:jc w:val="right"/>
              <w:rPr>
                <w:color w:val="000000"/>
                <w:sz w:val="16"/>
                <w:szCs w:val="16"/>
              </w:rPr>
            </w:pPr>
            <w:r w:rsidRPr="000A1ADC">
              <w:rPr>
                <w:color w:val="000000"/>
                <w:sz w:val="16"/>
                <w:szCs w:val="16"/>
              </w:rPr>
              <w:t>.587</w:t>
            </w:r>
          </w:p>
        </w:tc>
      </w:tr>
      <w:tr w:rsidR="000A1ADC" w:rsidRPr="000A1ADC" w:rsidTr="00901F65">
        <w:trPr>
          <w:trHeight w:val="300"/>
        </w:trPr>
        <w:tc>
          <w:tcPr>
            <w:tcW w:w="709" w:type="dxa"/>
            <w:shd w:val="clear" w:color="auto" w:fill="auto"/>
            <w:hideMark/>
          </w:tcPr>
          <w:p w:rsidR="000A1ADC" w:rsidRPr="000A1ADC" w:rsidRDefault="000A1ADC" w:rsidP="00F66727">
            <w:pPr>
              <w:rPr>
                <w:color w:val="000000"/>
                <w:sz w:val="16"/>
                <w:szCs w:val="16"/>
              </w:rPr>
            </w:pPr>
            <w:r w:rsidRPr="000A1ADC">
              <w:rPr>
                <w:color w:val="000000"/>
                <w:sz w:val="16"/>
                <w:szCs w:val="16"/>
              </w:rPr>
              <w:t>Error</w:t>
            </w:r>
          </w:p>
        </w:tc>
        <w:tc>
          <w:tcPr>
            <w:tcW w:w="1134" w:type="dxa"/>
            <w:shd w:val="clear" w:color="auto" w:fill="auto"/>
            <w:noWrap/>
            <w:hideMark/>
          </w:tcPr>
          <w:p w:rsidR="000A1ADC" w:rsidRPr="000A1ADC" w:rsidRDefault="000A1ADC" w:rsidP="00F66727">
            <w:pPr>
              <w:jc w:val="right"/>
              <w:rPr>
                <w:color w:val="000000"/>
                <w:sz w:val="16"/>
                <w:szCs w:val="16"/>
              </w:rPr>
            </w:pPr>
            <w:r w:rsidRPr="000A1ADC">
              <w:rPr>
                <w:color w:val="000000"/>
                <w:sz w:val="16"/>
                <w:szCs w:val="16"/>
              </w:rPr>
              <w:t>54828.951</w:t>
            </w:r>
          </w:p>
        </w:tc>
        <w:tc>
          <w:tcPr>
            <w:tcW w:w="567" w:type="dxa"/>
            <w:shd w:val="clear" w:color="auto" w:fill="auto"/>
            <w:noWrap/>
            <w:hideMark/>
          </w:tcPr>
          <w:p w:rsidR="000A1ADC" w:rsidRPr="000A1ADC" w:rsidRDefault="000A1ADC" w:rsidP="00F66727">
            <w:pPr>
              <w:jc w:val="right"/>
              <w:rPr>
                <w:color w:val="000000"/>
                <w:sz w:val="16"/>
                <w:szCs w:val="16"/>
              </w:rPr>
            </w:pPr>
            <w:r w:rsidRPr="000A1ADC">
              <w:rPr>
                <w:color w:val="000000"/>
                <w:sz w:val="16"/>
                <w:szCs w:val="16"/>
              </w:rPr>
              <w:t>229</w:t>
            </w:r>
          </w:p>
        </w:tc>
        <w:tc>
          <w:tcPr>
            <w:tcW w:w="992" w:type="dxa"/>
            <w:shd w:val="clear" w:color="auto" w:fill="auto"/>
            <w:noWrap/>
            <w:hideMark/>
          </w:tcPr>
          <w:p w:rsidR="000A1ADC" w:rsidRPr="000A1ADC" w:rsidRDefault="000A1ADC" w:rsidP="00F66727">
            <w:pPr>
              <w:jc w:val="right"/>
              <w:rPr>
                <w:color w:val="000000"/>
                <w:sz w:val="16"/>
                <w:szCs w:val="16"/>
              </w:rPr>
            </w:pPr>
            <w:r w:rsidRPr="000A1ADC">
              <w:rPr>
                <w:color w:val="000000"/>
                <w:sz w:val="16"/>
                <w:szCs w:val="16"/>
              </w:rPr>
              <w:t>239.428</w:t>
            </w:r>
          </w:p>
        </w:tc>
        <w:tc>
          <w:tcPr>
            <w:tcW w:w="709" w:type="dxa"/>
            <w:shd w:val="clear" w:color="auto" w:fill="auto"/>
            <w:hideMark/>
          </w:tcPr>
          <w:p w:rsidR="000A1ADC" w:rsidRPr="000A1ADC" w:rsidRDefault="000A1ADC" w:rsidP="00F66727">
            <w:pPr>
              <w:rPr>
                <w:color w:val="000000"/>
                <w:sz w:val="16"/>
                <w:szCs w:val="16"/>
              </w:rPr>
            </w:pPr>
            <w:r w:rsidRPr="000A1ADC">
              <w:rPr>
                <w:color w:val="000000"/>
                <w:sz w:val="16"/>
                <w:szCs w:val="16"/>
              </w:rPr>
              <w:t> </w:t>
            </w:r>
          </w:p>
        </w:tc>
        <w:tc>
          <w:tcPr>
            <w:tcW w:w="567" w:type="dxa"/>
            <w:shd w:val="clear" w:color="auto" w:fill="auto"/>
            <w:hideMark/>
          </w:tcPr>
          <w:p w:rsidR="000A1ADC" w:rsidRPr="000A1ADC" w:rsidRDefault="000A1ADC" w:rsidP="00F66727">
            <w:pPr>
              <w:rPr>
                <w:color w:val="000000"/>
                <w:sz w:val="16"/>
                <w:szCs w:val="16"/>
              </w:rPr>
            </w:pPr>
            <w:r w:rsidRPr="000A1ADC">
              <w:rPr>
                <w:color w:val="000000"/>
                <w:sz w:val="16"/>
                <w:szCs w:val="16"/>
              </w:rPr>
              <w:t> </w:t>
            </w:r>
          </w:p>
        </w:tc>
      </w:tr>
      <w:tr w:rsidR="000A1ADC" w:rsidRPr="000A1ADC" w:rsidTr="00901F65">
        <w:trPr>
          <w:trHeight w:val="300"/>
        </w:trPr>
        <w:tc>
          <w:tcPr>
            <w:tcW w:w="709" w:type="dxa"/>
            <w:shd w:val="clear" w:color="auto" w:fill="auto"/>
            <w:hideMark/>
          </w:tcPr>
          <w:p w:rsidR="000A1ADC" w:rsidRPr="000A1ADC" w:rsidRDefault="000A1ADC" w:rsidP="00F66727">
            <w:pPr>
              <w:rPr>
                <w:color w:val="000000"/>
                <w:sz w:val="16"/>
                <w:szCs w:val="16"/>
              </w:rPr>
            </w:pPr>
            <w:r w:rsidRPr="000A1ADC">
              <w:rPr>
                <w:color w:val="000000"/>
                <w:sz w:val="16"/>
                <w:szCs w:val="16"/>
              </w:rPr>
              <w:t>Total</w:t>
            </w:r>
          </w:p>
        </w:tc>
        <w:tc>
          <w:tcPr>
            <w:tcW w:w="1134" w:type="dxa"/>
            <w:shd w:val="clear" w:color="auto" w:fill="auto"/>
            <w:noWrap/>
            <w:hideMark/>
          </w:tcPr>
          <w:p w:rsidR="000A1ADC" w:rsidRPr="000A1ADC" w:rsidRDefault="000A1ADC" w:rsidP="00F66727">
            <w:pPr>
              <w:jc w:val="right"/>
              <w:rPr>
                <w:color w:val="000000"/>
                <w:sz w:val="16"/>
                <w:szCs w:val="16"/>
              </w:rPr>
            </w:pPr>
            <w:r w:rsidRPr="000A1ADC">
              <w:rPr>
                <w:color w:val="000000"/>
                <w:sz w:val="16"/>
                <w:szCs w:val="16"/>
              </w:rPr>
              <w:t>8580674.000</w:t>
            </w:r>
          </w:p>
        </w:tc>
        <w:tc>
          <w:tcPr>
            <w:tcW w:w="567" w:type="dxa"/>
            <w:shd w:val="clear" w:color="auto" w:fill="auto"/>
            <w:noWrap/>
            <w:hideMark/>
          </w:tcPr>
          <w:p w:rsidR="000A1ADC" w:rsidRPr="000A1ADC" w:rsidRDefault="000A1ADC" w:rsidP="00F66727">
            <w:pPr>
              <w:jc w:val="right"/>
              <w:rPr>
                <w:color w:val="000000"/>
                <w:sz w:val="16"/>
                <w:szCs w:val="16"/>
              </w:rPr>
            </w:pPr>
            <w:r w:rsidRPr="000A1ADC">
              <w:rPr>
                <w:color w:val="000000"/>
                <w:sz w:val="16"/>
                <w:szCs w:val="16"/>
              </w:rPr>
              <w:t>232</w:t>
            </w:r>
          </w:p>
        </w:tc>
        <w:tc>
          <w:tcPr>
            <w:tcW w:w="992" w:type="dxa"/>
            <w:shd w:val="clear" w:color="auto" w:fill="auto"/>
            <w:hideMark/>
          </w:tcPr>
          <w:p w:rsidR="000A1ADC" w:rsidRPr="000A1ADC" w:rsidRDefault="000A1ADC" w:rsidP="00F66727">
            <w:pPr>
              <w:rPr>
                <w:color w:val="000000"/>
                <w:sz w:val="16"/>
                <w:szCs w:val="16"/>
              </w:rPr>
            </w:pPr>
            <w:r w:rsidRPr="000A1ADC">
              <w:rPr>
                <w:color w:val="000000"/>
                <w:sz w:val="16"/>
                <w:szCs w:val="16"/>
              </w:rPr>
              <w:t> </w:t>
            </w:r>
          </w:p>
        </w:tc>
        <w:tc>
          <w:tcPr>
            <w:tcW w:w="709" w:type="dxa"/>
            <w:shd w:val="clear" w:color="auto" w:fill="auto"/>
            <w:hideMark/>
          </w:tcPr>
          <w:p w:rsidR="000A1ADC" w:rsidRPr="000A1ADC" w:rsidRDefault="000A1ADC" w:rsidP="00F66727">
            <w:pPr>
              <w:rPr>
                <w:color w:val="000000"/>
                <w:sz w:val="16"/>
                <w:szCs w:val="16"/>
              </w:rPr>
            </w:pPr>
            <w:r w:rsidRPr="000A1ADC">
              <w:rPr>
                <w:color w:val="000000"/>
                <w:sz w:val="16"/>
                <w:szCs w:val="16"/>
              </w:rPr>
              <w:t> </w:t>
            </w:r>
          </w:p>
        </w:tc>
        <w:tc>
          <w:tcPr>
            <w:tcW w:w="567" w:type="dxa"/>
            <w:shd w:val="clear" w:color="auto" w:fill="auto"/>
            <w:hideMark/>
          </w:tcPr>
          <w:p w:rsidR="000A1ADC" w:rsidRPr="000A1ADC" w:rsidRDefault="000A1ADC" w:rsidP="00F66727">
            <w:pPr>
              <w:rPr>
                <w:color w:val="000000"/>
                <w:sz w:val="16"/>
                <w:szCs w:val="16"/>
              </w:rPr>
            </w:pPr>
            <w:r w:rsidRPr="000A1ADC">
              <w:rPr>
                <w:color w:val="000000"/>
                <w:sz w:val="16"/>
                <w:szCs w:val="16"/>
              </w:rPr>
              <w:t> </w:t>
            </w:r>
          </w:p>
        </w:tc>
      </w:tr>
    </w:tbl>
    <w:p w:rsidR="005074BE" w:rsidRDefault="005074BE" w:rsidP="00F66727">
      <w:pPr>
        <w:autoSpaceDE w:val="0"/>
        <w:jc w:val="center"/>
        <w:rPr>
          <w:color w:val="000000"/>
          <w:sz w:val="20"/>
          <w:szCs w:val="20"/>
          <w:lang w:val="en-AU"/>
        </w:rPr>
      </w:pPr>
    </w:p>
    <w:p w:rsidR="002249FD" w:rsidRPr="002249FD" w:rsidRDefault="002249FD" w:rsidP="00F66727">
      <w:pPr>
        <w:ind w:firstLine="720"/>
        <w:jc w:val="both"/>
        <w:rPr>
          <w:sz w:val="20"/>
          <w:szCs w:val="20"/>
        </w:rPr>
      </w:pPr>
      <w:r w:rsidRPr="002249FD">
        <w:rPr>
          <w:sz w:val="20"/>
          <w:szCs w:val="20"/>
        </w:rPr>
        <w:t>Hasil pengujian hipotesis diperoleh  nilai F sebesar 0,534 dengan  nilai p  ≥ 0.05. Hal ini menunjukkan bahwa H0 diterima dan H1 ditolak. Dengan demikian, disimpulkan bahwa tidak ada perbedaan kesadaran metakognisi mahasiswa Jurusan Biologi pada jalur SBMPTN, SNMPTN, dan Mandiri.</w:t>
      </w:r>
    </w:p>
    <w:p w:rsidR="00475239" w:rsidRPr="00475239" w:rsidRDefault="00475239" w:rsidP="00F66727">
      <w:pPr>
        <w:ind w:firstLine="720"/>
        <w:jc w:val="both"/>
        <w:rPr>
          <w:sz w:val="20"/>
          <w:szCs w:val="20"/>
        </w:rPr>
      </w:pPr>
      <w:r w:rsidRPr="00475239">
        <w:rPr>
          <w:sz w:val="20"/>
          <w:szCs w:val="20"/>
        </w:rPr>
        <w:t>Hasil penelitian menunjukkan bahwa pada umumnya mahasiswa Jurusan Biologi memiliki kesadaran metakognisi “berkembang baik”. Bahkan, ada mahasiswa Jurusan Biologi yang memiliki kesadaran metakognisi “berkembang sangat baik’. Namun demikian, pada jalur SNMPTN masih ada 1,09% yang masih berada pada kategori “mulai berkembang”. Menurut Green, (2002) bahwa bahwa peserta didik dengan kategori “</w:t>
      </w:r>
      <w:r w:rsidRPr="00475239">
        <w:rPr>
          <w:b/>
          <w:sz w:val="20"/>
          <w:szCs w:val="20"/>
        </w:rPr>
        <w:t xml:space="preserve">mulai berkembang” adalah </w:t>
      </w:r>
      <w:r w:rsidRPr="00475239">
        <w:rPr>
          <w:sz w:val="20"/>
          <w:szCs w:val="20"/>
        </w:rPr>
        <w:t>peserta didik yang  telah dapat dibantu untuk sadar akan cara berpikirnya sendiri dengan menggugah dan mendukung cara mereka berpikir. Pada kondisi seperti ini, dosen hendaknya melatihkan strategi metakognitif sehingga mahasiswa akan berkembang kesadaran metakognitif.</w:t>
      </w:r>
    </w:p>
    <w:p w:rsidR="00475239" w:rsidRPr="00475239" w:rsidRDefault="00475239" w:rsidP="00F66727">
      <w:pPr>
        <w:ind w:firstLine="720"/>
        <w:jc w:val="both"/>
        <w:rPr>
          <w:sz w:val="20"/>
          <w:szCs w:val="20"/>
        </w:rPr>
      </w:pPr>
      <w:r w:rsidRPr="00475239">
        <w:rPr>
          <w:sz w:val="20"/>
          <w:szCs w:val="20"/>
        </w:rPr>
        <w:t>Demikian pula, jika dilihat dari jenis metakognisi yang meliputi pengetahuan dan regulasi metakognisi, mahasiswa Jurusan Biologi pada ketiga jalur penerimaan umummnya “berkembang baik”. Menurut Green (2002) bahwa peserta didik dengan kategori “</w:t>
      </w:r>
      <w:r w:rsidRPr="00475239">
        <w:rPr>
          <w:b/>
          <w:sz w:val="20"/>
          <w:szCs w:val="20"/>
        </w:rPr>
        <w:t>berkembang baik” adalah peserta didik</w:t>
      </w:r>
      <w:r w:rsidRPr="00475239">
        <w:rPr>
          <w:sz w:val="20"/>
          <w:szCs w:val="20"/>
        </w:rPr>
        <w:t xml:space="preserve"> telah sadar dengan cara berpikirnya dan dapat membedakan tahap elaborasi input dan ouput dari proses berpikirnya. Pada kategori ini peserta didik terkadang telah menggunakan model-model strategi untuk mengatur proses berpikir dan belajarnya. </w:t>
      </w:r>
    </w:p>
    <w:p w:rsidR="00475239" w:rsidRPr="00475239" w:rsidRDefault="00475239" w:rsidP="00F66727">
      <w:pPr>
        <w:ind w:firstLine="720"/>
        <w:jc w:val="both"/>
        <w:rPr>
          <w:sz w:val="20"/>
          <w:szCs w:val="20"/>
        </w:rPr>
      </w:pPr>
      <w:r w:rsidRPr="00475239">
        <w:rPr>
          <w:sz w:val="20"/>
          <w:szCs w:val="20"/>
        </w:rPr>
        <w:t>Lain halnya, pada jalur Mandiri mahasiswa memiliki regulasi metakognisi “berkembang sangat baik” lebih dominan. Menurut Green (2002) bahwa peserta didik dengan kategori “b</w:t>
      </w:r>
      <w:r w:rsidRPr="00475239">
        <w:rPr>
          <w:b/>
          <w:sz w:val="20"/>
          <w:szCs w:val="20"/>
        </w:rPr>
        <w:t xml:space="preserve">erkembang sangat baik”  </w:t>
      </w:r>
      <w:r w:rsidRPr="00475239">
        <w:rPr>
          <w:sz w:val="20"/>
          <w:szCs w:val="20"/>
        </w:rPr>
        <w:t>adalah mahasiswa yang telah menggunakan kesadaran metakognitif secara teratur untuk mengatur proses berpikir dan belajarnya secara mandiri. Peserta didik tersebut telah memiliki kesadaran dan pengetahuan dengan berbagai macam cara dalam berpikirnya, mampu menggunakannya secara lancar, dan dapat merefleksikan proses berpikirnya. Hal ini dapat terjadi karena mahasiswa jalur mandiri telah memiliki komitmen untuk berhasil mengingat telah menempuh beberapa seleksi agar dapat diterima sebagai mahasiswa.</w:t>
      </w:r>
    </w:p>
    <w:p w:rsidR="00475239" w:rsidRPr="00475239" w:rsidRDefault="00475239" w:rsidP="00F66727">
      <w:pPr>
        <w:ind w:firstLine="720"/>
        <w:jc w:val="both"/>
        <w:rPr>
          <w:sz w:val="20"/>
          <w:szCs w:val="20"/>
        </w:rPr>
      </w:pPr>
      <w:r w:rsidRPr="00475239">
        <w:rPr>
          <w:sz w:val="20"/>
          <w:szCs w:val="20"/>
        </w:rPr>
        <w:t>Hasil analisis deskriptif tersebut diperkuat juga hasil uji inferensial yang menunjukkan bahwa tidak ada perbedaan kesadaran metakognisi mahasiswa Jurusan Biologi pada jalur SBMPTN, SNMPTN, dan Mandiri. Tidak adanya perbedaan kesadaran metakognisi mahasiswa jurusan Biologi tersebut disebabkan karena mahasiswa Jurusan Biologi sudah menyadari dirinya kalau di perguruan tinggi sudah harus mampu memposisikan dirinya sebagai pebelajar orang dewasa yang harus belajar mandiri. Hal ini juga berarti bahwa mahasiswa jalur SBMPTN, SNMPTN, dan Mandiri masing-masing sudah mampu mengembangkan dirinya sebagai pebelajar yang mandiri (</w:t>
      </w:r>
      <w:r w:rsidRPr="00475239">
        <w:rPr>
          <w:i/>
          <w:sz w:val="20"/>
          <w:szCs w:val="20"/>
        </w:rPr>
        <w:t>self regulated learner</w:t>
      </w:r>
      <w:r w:rsidRPr="00475239">
        <w:rPr>
          <w:sz w:val="20"/>
          <w:szCs w:val="20"/>
        </w:rPr>
        <w:t>) dan pebelajar yang mampu mengarahkan dirinya sendiri (</w:t>
      </w:r>
      <w:r w:rsidRPr="00475239">
        <w:rPr>
          <w:i/>
          <w:sz w:val="20"/>
          <w:szCs w:val="20"/>
        </w:rPr>
        <w:t>self directed learner</w:t>
      </w:r>
      <w:r w:rsidRPr="00475239">
        <w:rPr>
          <w:sz w:val="20"/>
          <w:szCs w:val="20"/>
        </w:rPr>
        <w:t xml:space="preserve">). Sebagaimana dikemukakan oleh Enggen </w:t>
      </w:r>
      <w:r w:rsidRPr="00475239">
        <w:rPr>
          <w:sz w:val="20"/>
          <w:szCs w:val="20"/>
          <w:lang w:val="id-ID"/>
        </w:rPr>
        <w:t>&amp;</w:t>
      </w:r>
      <w:r w:rsidRPr="00475239">
        <w:rPr>
          <w:sz w:val="20"/>
          <w:szCs w:val="20"/>
        </w:rPr>
        <w:t xml:space="preserve"> Kauchak, (1996) bahwa s</w:t>
      </w:r>
      <w:r w:rsidRPr="00475239">
        <w:rPr>
          <w:i/>
          <w:sz w:val="20"/>
          <w:szCs w:val="20"/>
        </w:rPr>
        <w:t xml:space="preserve">elf-regulated learner </w:t>
      </w:r>
      <w:r w:rsidRPr="00475239">
        <w:rPr>
          <w:sz w:val="20"/>
          <w:szCs w:val="20"/>
        </w:rPr>
        <w:t xml:space="preserve"> yang dimiliki seseorang akan bertanggung jawab terhadap kemajuan belajarnya dan pebelajar dapat mengadaptasi strategi belajar  yang dapat digunakan untuk mencapai keberhasilan belajarnya.</w:t>
      </w:r>
    </w:p>
    <w:p w:rsidR="00475239" w:rsidRPr="00475239" w:rsidRDefault="00475239" w:rsidP="00F66727">
      <w:pPr>
        <w:ind w:firstLine="720"/>
        <w:jc w:val="both"/>
        <w:rPr>
          <w:sz w:val="20"/>
          <w:szCs w:val="20"/>
        </w:rPr>
      </w:pPr>
      <w:r w:rsidRPr="00475239">
        <w:rPr>
          <w:sz w:val="20"/>
          <w:szCs w:val="20"/>
        </w:rPr>
        <w:t xml:space="preserve">Tidak adanya perbedaan kesadaran metakognisi juga disebabkan karena mahasiswa  pada ketiga jalur penerimaan tersebut sudah mampu melakukan </w:t>
      </w:r>
      <w:r w:rsidRPr="00475239">
        <w:rPr>
          <w:i/>
          <w:sz w:val="20"/>
          <w:szCs w:val="20"/>
        </w:rPr>
        <w:t>self assessment</w:t>
      </w:r>
      <w:r w:rsidRPr="00475239">
        <w:rPr>
          <w:sz w:val="20"/>
          <w:szCs w:val="20"/>
        </w:rPr>
        <w:t xml:space="preserve"> terhadap aktivitasnya selama jadi mahasiswa. Menurut Schraw </w:t>
      </w:r>
      <w:r w:rsidRPr="00475239">
        <w:rPr>
          <w:sz w:val="20"/>
          <w:szCs w:val="20"/>
          <w:lang w:val="id-ID"/>
        </w:rPr>
        <w:t>&amp;</w:t>
      </w:r>
      <w:r w:rsidRPr="00475239">
        <w:rPr>
          <w:sz w:val="20"/>
          <w:szCs w:val="20"/>
        </w:rPr>
        <w:t xml:space="preserve"> Dennison (1994) bahwa mahasiswa yang terampil melakukan </w:t>
      </w:r>
      <w:r w:rsidRPr="00475239">
        <w:rPr>
          <w:i/>
          <w:sz w:val="20"/>
          <w:szCs w:val="20"/>
        </w:rPr>
        <w:t>asessment</w:t>
      </w:r>
      <w:r w:rsidRPr="00475239">
        <w:rPr>
          <w:sz w:val="20"/>
          <w:szCs w:val="20"/>
        </w:rPr>
        <w:t xml:space="preserve"> terhadap dirinya sendiri akan sadar tentang kemampuannya, bertindak lebih strategies</w:t>
      </w:r>
      <w:r w:rsidRPr="00475239">
        <w:rPr>
          <w:sz w:val="20"/>
          <w:szCs w:val="20"/>
          <w:lang w:val="id-ID"/>
        </w:rPr>
        <w:t>,</w:t>
      </w:r>
      <w:r w:rsidRPr="00475239">
        <w:rPr>
          <w:sz w:val="20"/>
          <w:szCs w:val="20"/>
        </w:rPr>
        <w:t xml:space="preserve"> dan lebih baik dibanding mereka yang tidak terampil melakukan asessmen diri sendiri. </w:t>
      </w:r>
    </w:p>
    <w:p w:rsidR="00475239" w:rsidRPr="00475239" w:rsidRDefault="00475239" w:rsidP="00F66727">
      <w:pPr>
        <w:ind w:firstLine="720"/>
        <w:jc w:val="both"/>
        <w:rPr>
          <w:sz w:val="20"/>
          <w:szCs w:val="20"/>
        </w:rPr>
      </w:pPr>
      <w:r w:rsidRPr="00475239">
        <w:rPr>
          <w:sz w:val="20"/>
          <w:szCs w:val="20"/>
        </w:rPr>
        <w:t xml:space="preserve">Beberapa penelitian yang menunjukkan bahwa tidak ada perbedaan kesadaran metakognisi pada mahasiswa telah dilaporkan (Bahri, 2010; Danial, 2010; Palennari 2012). Hal ini menunjukkan bahwa peserta didik di perguruan tinggi (mahasiswa)  sudah memiliki kesadaran untuk memilih strategi belajar, mampu mengatur waktu belajarnya, mampu memecahkan masalah, mampu mengendalikan diri serta mampu memanfaatkan informasi yang ada disekitarnya. Jika mahasiswa tidak memiliki kemampuan seperti tersebut maka ada kemungkinan mahasiswa akan tertinggal prestasinya dan tidak mampu menyesuaian diri dengan kehidupan di perguruan tinggi karena belajar di perguruan tinggi membutuhkan kemandirian. Kesadaran metakognisi sangat perlu dimiliki oleh mahasiswa untuk mengembangkan kemandirian belajarnya. </w:t>
      </w:r>
    </w:p>
    <w:p w:rsidR="00475239" w:rsidRPr="00475239" w:rsidRDefault="00475239" w:rsidP="00F66727">
      <w:pPr>
        <w:ind w:firstLine="720"/>
        <w:jc w:val="both"/>
        <w:rPr>
          <w:sz w:val="20"/>
          <w:szCs w:val="20"/>
        </w:rPr>
      </w:pPr>
      <w:r w:rsidRPr="00475239">
        <w:rPr>
          <w:sz w:val="20"/>
          <w:szCs w:val="20"/>
        </w:rPr>
        <w:t xml:space="preserve">Hasil penelitian yang relevan juga telah dilaporkan oleh Aydin &amp; Coskun (2011) bahwa  tidak ada perbedaan kesadaran metakognisi calon guru geografi antara </w:t>
      </w:r>
      <w:r w:rsidRPr="00475239">
        <w:rPr>
          <w:i/>
          <w:sz w:val="20"/>
          <w:szCs w:val="20"/>
        </w:rPr>
        <w:t xml:space="preserve">grade </w:t>
      </w:r>
      <w:r w:rsidRPr="00475239">
        <w:rPr>
          <w:sz w:val="20"/>
          <w:szCs w:val="20"/>
        </w:rPr>
        <w:t xml:space="preserve">1, </w:t>
      </w:r>
      <w:r w:rsidRPr="00475239">
        <w:rPr>
          <w:i/>
          <w:sz w:val="20"/>
          <w:szCs w:val="20"/>
        </w:rPr>
        <w:t>grade</w:t>
      </w:r>
      <w:r w:rsidRPr="00475239">
        <w:rPr>
          <w:sz w:val="20"/>
          <w:szCs w:val="20"/>
        </w:rPr>
        <w:t xml:space="preserve"> 2, dan </w:t>
      </w:r>
      <w:r w:rsidRPr="00475239">
        <w:rPr>
          <w:i/>
          <w:sz w:val="20"/>
          <w:szCs w:val="20"/>
        </w:rPr>
        <w:t>grade</w:t>
      </w:r>
      <w:r w:rsidRPr="00475239">
        <w:rPr>
          <w:sz w:val="20"/>
          <w:szCs w:val="20"/>
        </w:rPr>
        <w:t xml:space="preserve"> 3. Hasil penelitian ini dapat diasumiskan bahwa jalur penerimaan mahasiswa analogi dengan </w:t>
      </w:r>
      <w:r w:rsidRPr="00475239">
        <w:rPr>
          <w:i/>
          <w:sz w:val="20"/>
          <w:szCs w:val="20"/>
        </w:rPr>
        <w:t>grade</w:t>
      </w:r>
      <w:r w:rsidRPr="00475239">
        <w:rPr>
          <w:sz w:val="20"/>
          <w:szCs w:val="20"/>
        </w:rPr>
        <w:t xml:space="preserve"> dan tingkatan kelas dimana ketiganya tidak bisa mempengaruhi kesadaran metakognisi mahasiswa. Dengan demikian, kesadaran metakognisi mahasiswa antara jalur SBMPT, SNMPTN, dan Mandiri tdak dapat memberikan kontribusi terhadap kesadaran metakognisi. Hal ini disebabkan karena kesadaran metakognisi mahasiswa muncul sebagai akibat adanya kemauan untuk mengatur dan memilih strategi belajarnya sendiri. Dengan kata lain, mahasiswa ketiga jalur penerimaan tersebut masing-masing ingin mempertahankan eksistensinya untuk mendapatkan prestasi yang baik. Sebagaimana disebutkan oleh Schraw </w:t>
      </w:r>
      <w:r w:rsidRPr="00475239">
        <w:rPr>
          <w:sz w:val="20"/>
          <w:szCs w:val="20"/>
          <w:lang w:val="id-ID"/>
        </w:rPr>
        <w:t>&amp;</w:t>
      </w:r>
      <w:r w:rsidRPr="00475239">
        <w:rPr>
          <w:sz w:val="20"/>
          <w:szCs w:val="20"/>
        </w:rPr>
        <w:t xml:space="preserve"> Dennison (1994) bahwa para pebelajar yang terampil melakukan asessmen terhadap diri sendiri sadar akan kemampuannya, bertindak lebih strategies</w:t>
      </w:r>
      <w:r w:rsidRPr="00475239">
        <w:rPr>
          <w:sz w:val="20"/>
          <w:szCs w:val="20"/>
          <w:lang w:val="id-ID"/>
        </w:rPr>
        <w:t>,</w:t>
      </w:r>
      <w:r w:rsidRPr="00475239">
        <w:rPr>
          <w:sz w:val="20"/>
          <w:szCs w:val="20"/>
        </w:rPr>
        <w:t xml:space="preserve"> dan lebih baik dibanding mereka yang tidak terampil melakukan asessmen diri sendiri.</w:t>
      </w:r>
    </w:p>
    <w:p w:rsidR="00475239" w:rsidRPr="00475239" w:rsidRDefault="00475239" w:rsidP="00F66727">
      <w:pPr>
        <w:pStyle w:val="ListParagraph"/>
        <w:spacing w:after="0" w:line="240" w:lineRule="auto"/>
        <w:rPr>
          <w:rFonts w:ascii="Times New Roman" w:hAnsi="Times New Roman"/>
          <w:sz w:val="20"/>
          <w:szCs w:val="20"/>
        </w:rPr>
      </w:pPr>
    </w:p>
    <w:p w:rsidR="009306DD" w:rsidRPr="00475239" w:rsidRDefault="009306DD" w:rsidP="00F66727">
      <w:pPr>
        <w:autoSpaceDE w:val="0"/>
        <w:rPr>
          <w:b/>
          <w:color w:val="000000"/>
          <w:sz w:val="20"/>
          <w:szCs w:val="20"/>
          <w:lang w:val="en-AU"/>
        </w:rPr>
      </w:pPr>
      <w:r w:rsidRPr="00475239">
        <w:rPr>
          <w:b/>
          <w:color w:val="000000"/>
          <w:sz w:val="20"/>
          <w:szCs w:val="20"/>
          <w:lang w:val="en-AU"/>
        </w:rPr>
        <w:t xml:space="preserve">V. </w:t>
      </w:r>
      <w:r w:rsidR="00E516AF" w:rsidRPr="00475239">
        <w:rPr>
          <w:b/>
          <w:color w:val="000000"/>
          <w:sz w:val="20"/>
          <w:szCs w:val="20"/>
          <w:lang w:val="en-AU"/>
        </w:rPr>
        <w:t>KESIMPULAN</w:t>
      </w:r>
      <w:r w:rsidRPr="00475239">
        <w:rPr>
          <w:b/>
          <w:color w:val="000000"/>
          <w:sz w:val="20"/>
          <w:szCs w:val="20"/>
          <w:lang w:val="en-AU"/>
        </w:rPr>
        <w:t xml:space="preserve">  </w:t>
      </w:r>
      <w:r w:rsidR="00475239">
        <w:rPr>
          <w:b/>
          <w:color w:val="000000"/>
          <w:sz w:val="20"/>
          <w:szCs w:val="20"/>
          <w:lang w:val="en-AU"/>
        </w:rPr>
        <w:t>DAN SARAN</w:t>
      </w:r>
    </w:p>
    <w:p w:rsidR="00475239" w:rsidRDefault="00475239" w:rsidP="00F66727">
      <w:pPr>
        <w:pStyle w:val="BodyTextIndent"/>
        <w:ind w:left="0" w:firstLine="426"/>
      </w:pPr>
      <w:r>
        <w:t>Berdasarkan h</w:t>
      </w:r>
      <w:r w:rsidRPr="00B9299A">
        <w:t xml:space="preserve">asil penelitian </w:t>
      </w:r>
      <w:r>
        <w:t>dan pembahasan disimpulkan</w:t>
      </w:r>
      <w:r w:rsidRPr="00B9299A">
        <w:t xml:space="preserve"> bahwa:</w:t>
      </w:r>
      <w:r>
        <w:t xml:space="preserve"> (1) M</w:t>
      </w:r>
      <w:r w:rsidRPr="003C4F34">
        <w:t xml:space="preserve">ahasiswa </w:t>
      </w:r>
      <w:r>
        <w:t>J</w:t>
      </w:r>
      <w:r w:rsidRPr="003C4F34">
        <w:t xml:space="preserve">urusan </w:t>
      </w:r>
      <w:r>
        <w:t>B</w:t>
      </w:r>
      <w:r w:rsidRPr="003C4F34">
        <w:t xml:space="preserve">iologi </w:t>
      </w:r>
      <w:r>
        <w:t>pada tiga jalur penerimaan memiliki ke</w:t>
      </w:r>
      <w:r w:rsidRPr="003C4F34">
        <w:t>sadar</w:t>
      </w:r>
      <w:r>
        <w:t>a</w:t>
      </w:r>
      <w:r w:rsidRPr="003C4F34">
        <w:t xml:space="preserve">n metakognisi </w:t>
      </w:r>
      <w:r>
        <w:t>umumnya berada pada kategori “berkembang baik” dengan persentase secara berturut-turut adalah jalur SBMPTN sebesar 77,50%; jalur Mandiri sebesar 75,00%; dan jalur SNMPTN sebesar 71,74% dan (2) T</w:t>
      </w:r>
      <w:r w:rsidRPr="008866CA">
        <w:t>idak ada perbedaan kesadaran metakognisi mahasiswa Jurusan Biologi pada jalur SBMPTN, SNMPTN, dan Mandiri.</w:t>
      </w:r>
    </w:p>
    <w:p w:rsidR="00475239" w:rsidRDefault="00475239" w:rsidP="00F66727">
      <w:pPr>
        <w:pStyle w:val="BodyTextIndent"/>
      </w:pPr>
    </w:p>
    <w:p w:rsidR="00475239" w:rsidRPr="00A95F69" w:rsidRDefault="00475239" w:rsidP="00F66727">
      <w:pPr>
        <w:pStyle w:val="ListParagraph"/>
        <w:numPr>
          <w:ilvl w:val="0"/>
          <w:numId w:val="6"/>
        </w:numPr>
        <w:spacing w:after="0" w:line="240" w:lineRule="auto"/>
        <w:ind w:left="426" w:hanging="426"/>
        <w:rPr>
          <w:rFonts w:ascii="Times New Roman" w:hAnsi="Times New Roman"/>
          <w:b/>
          <w:sz w:val="24"/>
          <w:szCs w:val="24"/>
        </w:rPr>
      </w:pPr>
      <w:r>
        <w:rPr>
          <w:rFonts w:ascii="Times New Roman" w:hAnsi="Times New Roman"/>
          <w:b/>
          <w:sz w:val="24"/>
          <w:szCs w:val="24"/>
        </w:rPr>
        <w:t>Saran-Saran</w:t>
      </w:r>
    </w:p>
    <w:p w:rsidR="00475239" w:rsidRPr="00B64DE6" w:rsidRDefault="00475239" w:rsidP="00F66727">
      <w:pPr>
        <w:ind w:firstLine="720"/>
        <w:jc w:val="both"/>
      </w:pPr>
      <w:r w:rsidRPr="00B64DE6">
        <w:t>Berdasarkan hasil penelitian ini disarankan bahwa jalur penerimaan mahasiswa di perguruan tinggi ant</w:t>
      </w:r>
      <w:r>
        <w:t>ara jalur SBMPTN, SNMPT, dan M</w:t>
      </w:r>
      <w:r w:rsidRPr="00B64DE6">
        <w:t>andiri</w:t>
      </w:r>
      <w:r>
        <w:t xml:space="preserve"> tetap dapat dipertahankan dan jalur Mandiri perlu ditambah kuotanya.</w:t>
      </w:r>
    </w:p>
    <w:p w:rsidR="00E516AF" w:rsidRPr="00475239" w:rsidRDefault="00E516AF" w:rsidP="00F66727">
      <w:pPr>
        <w:autoSpaceDE w:val="0"/>
        <w:jc w:val="center"/>
        <w:rPr>
          <w:color w:val="000000"/>
          <w:sz w:val="20"/>
          <w:szCs w:val="20"/>
          <w:lang w:val="en-AU"/>
        </w:rPr>
      </w:pPr>
    </w:p>
    <w:p w:rsidR="005074BE" w:rsidRPr="002249FD" w:rsidRDefault="005074BE" w:rsidP="00F66727">
      <w:pPr>
        <w:autoSpaceDE w:val="0"/>
        <w:rPr>
          <w:b/>
          <w:color w:val="000000"/>
          <w:sz w:val="20"/>
          <w:szCs w:val="20"/>
          <w:lang w:val="en-AU"/>
        </w:rPr>
      </w:pPr>
      <w:r w:rsidRPr="002249FD">
        <w:rPr>
          <w:b/>
          <w:color w:val="000000"/>
          <w:sz w:val="20"/>
          <w:szCs w:val="20"/>
          <w:lang w:val="en-AU"/>
        </w:rPr>
        <w:t>UCAPAN TERIMA KASIH</w:t>
      </w:r>
    </w:p>
    <w:p w:rsidR="00440FD7" w:rsidRPr="002249FD" w:rsidRDefault="005074BE" w:rsidP="00F66727">
      <w:pPr>
        <w:autoSpaceDE w:val="0"/>
        <w:ind w:firstLine="199"/>
        <w:jc w:val="both"/>
        <w:rPr>
          <w:color w:val="000000"/>
          <w:sz w:val="20"/>
          <w:szCs w:val="20"/>
          <w:lang w:val="en-AU"/>
        </w:rPr>
      </w:pPr>
      <w:r w:rsidRPr="002249FD">
        <w:rPr>
          <w:color w:val="000000"/>
          <w:sz w:val="20"/>
          <w:szCs w:val="20"/>
          <w:lang w:val="en-AU"/>
        </w:rPr>
        <w:t>Ucapan terima kasih</w:t>
      </w:r>
      <w:r w:rsidR="00F66727">
        <w:rPr>
          <w:color w:val="000000"/>
          <w:sz w:val="20"/>
          <w:szCs w:val="20"/>
          <w:lang w:val="en-AU"/>
        </w:rPr>
        <w:t xml:space="preserve"> Kepada Rektor UNM dan Dekan FMIPA atas dana yang dberi</w:t>
      </w:r>
      <w:r w:rsidR="00896DA5">
        <w:rPr>
          <w:color w:val="000000"/>
          <w:sz w:val="20"/>
          <w:szCs w:val="20"/>
          <w:lang w:val="en-AU"/>
        </w:rPr>
        <w:t>kan melalui DIPA-PNBP FMIPA UNM tahun 2016</w:t>
      </w:r>
      <w:r w:rsidR="00873C39">
        <w:rPr>
          <w:color w:val="000000"/>
          <w:sz w:val="20"/>
          <w:szCs w:val="20"/>
          <w:lang w:val="en-AU"/>
        </w:rPr>
        <w:t>.</w:t>
      </w:r>
    </w:p>
    <w:p w:rsidR="00B12E42" w:rsidRPr="002249FD" w:rsidRDefault="00B12E42" w:rsidP="00F66727">
      <w:pPr>
        <w:autoSpaceDE w:val="0"/>
        <w:rPr>
          <w:color w:val="000000"/>
          <w:sz w:val="20"/>
          <w:szCs w:val="20"/>
          <w:lang w:val="en-AU"/>
        </w:rPr>
      </w:pPr>
    </w:p>
    <w:p w:rsidR="00440FD7" w:rsidRPr="002249FD" w:rsidRDefault="000E0895" w:rsidP="00F66727">
      <w:pPr>
        <w:autoSpaceDE w:val="0"/>
        <w:rPr>
          <w:b/>
          <w:color w:val="000000"/>
          <w:sz w:val="20"/>
          <w:szCs w:val="20"/>
          <w:lang w:val="en-AU"/>
        </w:rPr>
      </w:pPr>
      <w:r w:rsidRPr="002249FD">
        <w:rPr>
          <w:b/>
          <w:color w:val="000000"/>
          <w:sz w:val="20"/>
          <w:szCs w:val="20"/>
          <w:lang w:val="en-AU"/>
        </w:rPr>
        <w:t>PUSTAKA</w:t>
      </w:r>
    </w:p>
    <w:p w:rsidR="00475239" w:rsidRDefault="00400DD2" w:rsidP="00F66727">
      <w:pPr>
        <w:pStyle w:val="BodyText"/>
        <w:spacing w:after="0"/>
        <w:ind w:left="426" w:hanging="426"/>
        <w:rPr>
          <w:rFonts w:eastAsia="Arial Unicode MS"/>
        </w:rPr>
      </w:pPr>
      <w:r>
        <w:rPr>
          <w:rFonts w:eastAsia="Arial Unicode MS"/>
        </w:rPr>
        <w:t xml:space="preserve">[1] </w:t>
      </w:r>
      <w:r w:rsidR="00475239" w:rsidRPr="004A259E">
        <w:rPr>
          <w:rFonts w:eastAsia="Arial Unicode MS"/>
        </w:rPr>
        <w:t xml:space="preserve">Anderson, O.W. </w:t>
      </w:r>
      <w:r w:rsidR="00475239" w:rsidRPr="004A259E">
        <w:rPr>
          <w:rFonts w:eastAsia="Arial Unicode MS"/>
          <w:lang w:val="id-ID"/>
        </w:rPr>
        <w:t>and</w:t>
      </w:r>
      <w:r w:rsidR="00475239" w:rsidRPr="004A259E">
        <w:rPr>
          <w:rFonts w:eastAsia="Arial Unicode MS"/>
        </w:rPr>
        <w:t xml:space="preserve"> Krathwohl, D.R., 2001. </w:t>
      </w:r>
      <w:r w:rsidR="00475239" w:rsidRPr="004A259E">
        <w:rPr>
          <w:rFonts w:eastAsia="Arial Unicode MS"/>
          <w:i/>
          <w:iCs/>
        </w:rPr>
        <w:t>A Taxonomy for Learning, Teaching, and Assessing (A Revision of Bloom’s Taxonomy of Educational Objectives</w:t>
      </w:r>
      <w:r w:rsidR="00475239" w:rsidRPr="004A259E">
        <w:rPr>
          <w:rFonts w:eastAsia="Arial Unicode MS"/>
        </w:rPr>
        <w:t>). New York: Addision Wesley Longman, Inc.</w:t>
      </w:r>
    </w:p>
    <w:p w:rsidR="00475239" w:rsidRDefault="00400DD2" w:rsidP="00F66727">
      <w:pPr>
        <w:pStyle w:val="Default"/>
        <w:ind w:left="426" w:hanging="426"/>
        <w:jc w:val="both"/>
        <w:rPr>
          <w:lang w:val="id-ID"/>
        </w:rPr>
      </w:pPr>
      <w:r>
        <w:t xml:space="preserve">[2] </w:t>
      </w:r>
      <w:r w:rsidR="00475239">
        <w:rPr>
          <w:lang w:val="id-ID"/>
        </w:rPr>
        <w:t xml:space="preserve">Aydin, F. and Coskun, M. 2011. Gography Teacher Candidates’ Metacognitives Awareness Levels: A Case from Turkey. </w:t>
      </w:r>
      <w:r w:rsidR="00475239">
        <w:rPr>
          <w:i/>
          <w:lang w:val="id-ID"/>
        </w:rPr>
        <w:t xml:space="preserve">Arch.Appl.Sci.Res. </w:t>
      </w:r>
      <w:r w:rsidR="00475239">
        <w:rPr>
          <w:lang w:val="id-ID"/>
        </w:rPr>
        <w:t>Vol. 3 (2): 551-557</w:t>
      </w:r>
    </w:p>
    <w:p w:rsidR="00475239" w:rsidRPr="004A259E" w:rsidRDefault="00400DD2" w:rsidP="00F66727">
      <w:pPr>
        <w:pStyle w:val="Default"/>
        <w:ind w:left="426" w:hanging="426"/>
        <w:jc w:val="both"/>
      </w:pPr>
      <w:r>
        <w:t xml:space="preserve">[3] </w:t>
      </w:r>
      <w:r w:rsidR="00475239" w:rsidRPr="004A259E">
        <w:t xml:space="preserve">Bahri, A. 2010. </w:t>
      </w:r>
      <w:r w:rsidR="00475239" w:rsidRPr="004A259E">
        <w:rPr>
          <w:i/>
        </w:rPr>
        <w:t>Pengaruh Strategi Pembelajaran RQA pada Perkuliahan Fisiologi Hewan tehadap Kesadaran Metakognitif, Keterampilan Metakognitif dan Hasil Belajar Kognitif Mahasiswa Jurusan Biologi FMIPA UNM</w:t>
      </w:r>
      <w:r w:rsidR="00475239" w:rsidRPr="004A259E">
        <w:t xml:space="preserve">. Tesis </w:t>
      </w:r>
      <w:r w:rsidR="00475239" w:rsidRPr="004A259E">
        <w:rPr>
          <w:lang w:val="id-ID"/>
        </w:rPr>
        <w:t>t</w:t>
      </w:r>
      <w:r w:rsidR="00475239" w:rsidRPr="004A259E">
        <w:t xml:space="preserve">idak </w:t>
      </w:r>
      <w:r w:rsidR="00475239" w:rsidRPr="004A259E">
        <w:rPr>
          <w:lang w:val="id-ID"/>
        </w:rPr>
        <w:t>d</w:t>
      </w:r>
      <w:r w:rsidR="00475239" w:rsidRPr="004A259E">
        <w:t>iterbitkan. Malang: PP</w:t>
      </w:r>
      <w:r w:rsidR="00475239" w:rsidRPr="004A259E">
        <w:rPr>
          <w:lang w:val="id-ID"/>
        </w:rPr>
        <w:t>s</w:t>
      </w:r>
      <w:r w:rsidR="00475239" w:rsidRPr="004A259E">
        <w:t xml:space="preserve"> Universitas Negeri Malang.</w:t>
      </w:r>
    </w:p>
    <w:p w:rsidR="00475239" w:rsidRPr="004A259E" w:rsidRDefault="00400DD2" w:rsidP="00F66727">
      <w:pPr>
        <w:ind w:left="426" w:hanging="426"/>
        <w:jc w:val="both"/>
        <w:rPr>
          <w:lang w:val="sv-SE"/>
        </w:rPr>
      </w:pPr>
      <w:r>
        <w:rPr>
          <w:lang w:val="sv-SE"/>
        </w:rPr>
        <w:t xml:space="preserve">[4] </w:t>
      </w:r>
      <w:r w:rsidR="00475239" w:rsidRPr="004A259E">
        <w:rPr>
          <w:lang w:val="sv-SE"/>
        </w:rPr>
        <w:t xml:space="preserve">Danial, M. 2010. </w:t>
      </w:r>
      <w:r w:rsidR="00475239" w:rsidRPr="004A259E">
        <w:rPr>
          <w:i/>
          <w:lang w:val="sv-SE"/>
        </w:rPr>
        <w:t>Pengaruh Strategi Pembelajaran PBL dan GI terhadap Metakognisi dan Penguasaan Konsep Kimia Dasar Mahasiswa Jurusan Biologi FMIPA UNM</w:t>
      </w:r>
      <w:r w:rsidR="00475239" w:rsidRPr="004A259E">
        <w:rPr>
          <w:lang w:val="sv-SE"/>
        </w:rPr>
        <w:t xml:space="preserve">. Disertasi </w:t>
      </w:r>
      <w:r w:rsidR="00475239" w:rsidRPr="004A259E">
        <w:rPr>
          <w:lang w:val="id-ID"/>
        </w:rPr>
        <w:t>t</w:t>
      </w:r>
      <w:r w:rsidR="00475239" w:rsidRPr="004A259E">
        <w:rPr>
          <w:lang w:val="sv-SE"/>
        </w:rPr>
        <w:t xml:space="preserve">idak </w:t>
      </w:r>
      <w:r w:rsidR="00475239" w:rsidRPr="004A259E">
        <w:rPr>
          <w:lang w:val="id-ID"/>
        </w:rPr>
        <w:t>d</w:t>
      </w:r>
      <w:r w:rsidR="00475239" w:rsidRPr="004A259E">
        <w:rPr>
          <w:lang w:val="sv-SE"/>
        </w:rPr>
        <w:t>iterbitkan. Malang: PP</w:t>
      </w:r>
      <w:r w:rsidR="00475239" w:rsidRPr="004A259E">
        <w:rPr>
          <w:lang w:val="id-ID"/>
        </w:rPr>
        <w:t>s</w:t>
      </w:r>
      <w:r w:rsidR="00475239" w:rsidRPr="004A259E">
        <w:rPr>
          <w:lang w:val="sv-SE"/>
        </w:rPr>
        <w:t xml:space="preserve"> UM.</w:t>
      </w:r>
    </w:p>
    <w:p w:rsidR="00475239" w:rsidRPr="004A259E" w:rsidRDefault="00400DD2" w:rsidP="00F66727">
      <w:pPr>
        <w:ind w:left="426" w:hanging="426"/>
        <w:rPr>
          <w:color w:val="000000"/>
          <w:lang w:val="id-ID"/>
        </w:rPr>
      </w:pPr>
      <w:r>
        <w:rPr>
          <w:color w:val="000000"/>
        </w:rPr>
        <w:t xml:space="preserve">[5] </w:t>
      </w:r>
      <w:r w:rsidR="00475239" w:rsidRPr="004A259E">
        <w:rPr>
          <w:color w:val="000000"/>
        </w:rPr>
        <w:t xml:space="preserve">Efklides, A. 2006. Metacognitive and Affect: What can Metacognitive Experience Tell Us about Learning Process? </w:t>
      </w:r>
      <w:r w:rsidR="00475239" w:rsidRPr="004A259E">
        <w:rPr>
          <w:i/>
          <w:iCs/>
          <w:color w:val="000000"/>
        </w:rPr>
        <w:t>Educational Research Review</w:t>
      </w:r>
      <w:r w:rsidR="00475239" w:rsidRPr="004A259E">
        <w:rPr>
          <w:color w:val="000000"/>
        </w:rPr>
        <w:t xml:space="preserve">, </w:t>
      </w:r>
      <w:r w:rsidR="00475239" w:rsidRPr="004A259E">
        <w:rPr>
          <w:color w:val="000000"/>
          <w:lang w:val="id-ID"/>
        </w:rPr>
        <w:t xml:space="preserve">Vol. </w:t>
      </w:r>
      <w:r w:rsidR="00475239" w:rsidRPr="004A259E">
        <w:rPr>
          <w:color w:val="000000"/>
        </w:rPr>
        <w:t>1</w:t>
      </w:r>
      <w:r w:rsidR="00475239" w:rsidRPr="004A259E">
        <w:rPr>
          <w:color w:val="000000"/>
          <w:lang w:val="id-ID"/>
        </w:rPr>
        <w:t xml:space="preserve"> (</w:t>
      </w:r>
      <w:r w:rsidR="00475239" w:rsidRPr="004A259E">
        <w:rPr>
          <w:color w:val="000000"/>
        </w:rPr>
        <w:t xml:space="preserve">2): 1-3.  </w:t>
      </w:r>
    </w:p>
    <w:p w:rsidR="00475239" w:rsidRPr="004A259E" w:rsidRDefault="00400DD2" w:rsidP="00873C39">
      <w:pPr>
        <w:ind w:left="426" w:hanging="426"/>
        <w:rPr>
          <w:color w:val="000000"/>
          <w:lang w:val="id-ID"/>
        </w:rPr>
      </w:pPr>
      <w:r>
        <w:rPr>
          <w:color w:val="000000"/>
        </w:rPr>
        <w:t xml:space="preserve">[6] </w:t>
      </w:r>
      <w:r w:rsidR="00475239" w:rsidRPr="004A259E">
        <w:rPr>
          <w:color w:val="000000"/>
          <w:lang w:val="id-ID"/>
        </w:rPr>
        <w:t xml:space="preserve">Eggen, P.D and Kauchak, D.P. 1996. </w:t>
      </w:r>
      <w:r w:rsidR="00475239" w:rsidRPr="004A259E">
        <w:rPr>
          <w:i/>
          <w:color w:val="000000"/>
          <w:lang w:val="id-ID"/>
        </w:rPr>
        <w:t>Strategies for Teachers</w:t>
      </w:r>
      <w:r w:rsidR="00475239" w:rsidRPr="004A259E">
        <w:rPr>
          <w:color w:val="000000"/>
          <w:lang w:val="id-ID"/>
        </w:rPr>
        <w:t>. Boston: Elly and Bacon.</w:t>
      </w:r>
    </w:p>
    <w:p w:rsidR="00475239" w:rsidRPr="004A259E" w:rsidRDefault="00400DD2" w:rsidP="00F66727">
      <w:pPr>
        <w:ind w:left="426" w:hanging="426"/>
        <w:jc w:val="both"/>
        <w:rPr>
          <w:lang w:val="id-ID"/>
        </w:rPr>
      </w:pPr>
      <w:r>
        <w:t xml:space="preserve">[7] </w:t>
      </w:r>
      <w:r w:rsidR="00475239" w:rsidRPr="004A259E">
        <w:t>Flavell, J. H. 1999. Cognitive Development: Children’s Knowledge about the Mind. Annual Review of Psychology</w:t>
      </w:r>
      <w:r w:rsidR="00475239" w:rsidRPr="004A259E">
        <w:rPr>
          <w:lang w:val="id-ID"/>
        </w:rPr>
        <w:t xml:space="preserve">. Vol. </w:t>
      </w:r>
      <w:r w:rsidR="00475239" w:rsidRPr="004A259E">
        <w:t>50</w:t>
      </w:r>
      <w:r w:rsidR="00475239" w:rsidRPr="004A259E">
        <w:rPr>
          <w:lang w:val="id-ID"/>
        </w:rPr>
        <w:t xml:space="preserve">: </w:t>
      </w:r>
      <w:r w:rsidR="00475239" w:rsidRPr="004A259E">
        <w:t>21–45. (Online), (</w:t>
      </w:r>
      <w:hyperlink r:id="rId12" w:history="1">
        <w:r w:rsidR="00873C39" w:rsidRPr="00E02F4A">
          <w:rPr>
            <w:rStyle w:val="Hyperlink"/>
          </w:rPr>
          <w:t>http://web.mac.com/ jopfer/courses.pdf</w:t>
        </w:r>
      </w:hyperlink>
      <w:r w:rsidR="00475239" w:rsidRPr="004A259E">
        <w:t>), diakses tanggal 23 Maret 2011.</w:t>
      </w:r>
    </w:p>
    <w:p w:rsidR="00475239" w:rsidRPr="004A259E" w:rsidRDefault="00400DD2" w:rsidP="00F66727">
      <w:pPr>
        <w:ind w:left="426" w:hanging="426"/>
        <w:jc w:val="both"/>
      </w:pPr>
      <w:r>
        <w:t xml:space="preserve">[8] </w:t>
      </w:r>
      <w:r w:rsidR="00475239" w:rsidRPr="004A259E">
        <w:t xml:space="preserve">Livingston, J.A. 1997. </w:t>
      </w:r>
      <w:r w:rsidR="00475239" w:rsidRPr="004A259E">
        <w:rPr>
          <w:i/>
        </w:rPr>
        <w:t>Metacognition: An Overview</w:t>
      </w:r>
      <w:r w:rsidR="00475239" w:rsidRPr="004A259E">
        <w:t>. (Online), (</w:t>
      </w:r>
      <w:hyperlink w:history="1">
        <w:r w:rsidR="00475239" w:rsidRPr="004A259E">
          <w:rPr>
            <w:rStyle w:val="Hyperlink"/>
          </w:rPr>
          <w:t>http://www.gse.</w:t>
        </w:r>
        <w:r w:rsidR="00475239" w:rsidRPr="004A259E">
          <w:rPr>
            <w:rStyle w:val="Hyperlink"/>
            <w:lang w:val="id-ID"/>
          </w:rPr>
          <w:t xml:space="preserve"> </w:t>
        </w:r>
        <w:r w:rsidR="00475239" w:rsidRPr="004A259E">
          <w:rPr>
            <w:rStyle w:val="Hyperlink"/>
          </w:rPr>
          <w:t>buffalo.edu/fas/shuell/cep564/.html</w:t>
        </w:r>
      </w:hyperlink>
      <w:r w:rsidR="00475239" w:rsidRPr="004A259E">
        <w:t>), diakses tanggal 8 Pebruari 2011.</w:t>
      </w:r>
    </w:p>
    <w:p w:rsidR="00475239" w:rsidRDefault="00400DD2" w:rsidP="00F66727">
      <w:pPr>
        <w:ind w:left="426" w:hanging="426"/>
        <w:jc w:val="both"/>
      </w:pPr>
      <w:r>
        <w:t xml:space="preserve">[8] </w:t>
      </w:r>
      <w:r w:rsidR="001F0972">
        <w:t xml:space="preserve"> </w:t>
      </w:r>
      <w:r w:rsidR="00475239" w:rsidRPr="004A259E">
        <w:t xml:space="preserve">Louca, E.P. 2003. The Concept and Instruction of Metacognition. </w:t>
      </w:r>
      <w:r w:rsidR="00475239" w:rsidRPr="004A259E">
        <w:rPr>
          <w:i/>
        </w:rPr>
        <w:t>Teacher Development.</w:t>
      </w:r>
      <w:r w:rsidR="00475239" w:rsidRPr="004A259E">
        <w:t xml:space="preserve"> Vol. 7 (1) : 9 – 30.</w:t>
      </w:r>
    </w:p>
    <w:p w:rsidR="00196821" w:rsidRPr="007F6721" w:rsidRDefault="00196821" w:rsidP="00196821">
      <w:pPr>
        <w:autoSpaceDE w:val="0"/>
        <w:autoSpaceDN w:val="0"/>
        <w:adjustRightInd w:val="0"/>
        <w:ind w:left="426" w:hanging="426"/>
        <w:jc w:val="both"/>
        <w:rPr>
          <w:rStyle w:val="HTMLCite"/>
          <w:i w:val="0"/>
        </w:rPr>
      </w:pPr>
      <w:r>
        <w:t xml:space="preserve">[9]. </w:t>
      </w:r>
      <w:r w:rsidRPr="0080715C">
        <w:t xml:space="preserve">OLRC News. 2004. </w:t>
      </w:r>
      <w:r w:rsidRPr="007F6721">
        <w:rPr>
          <w:i/>
        </w:rPr>
        <w:t>Metacognition.</w:t>
      </w:r>
      <w:r w:rsidRPr="0080715C">
        <w:t xml:space="preserve"> (Online), </w:t>
      </w:r>
      <w:r w:rsidRPr="007F6721">
        <w:t>(http://www.</w:t>
      </w:r>
      <w:r w:rsidRPr="007F6721">
        <w:rPr>
          <w:rStyle w:val="HTMLCite"/>
        </w:rPr>
        <w:t>iteracy.kent.edu/</w:t>
      </w:r>
      <w:r>
        <w:rPr>
          <w:rStyle w:val="HTMLCite"/>
          <w:lang w:val="id-ID"/>
        </w:rPr>
        <w:t xml:space="preserve"> </w:t>
      </w:r>
      <w:r>
        <w:rPr>
          <w:rStyle w:val="HTMLCite"/>
        </w:rPr>
        <w:t>ohioeff/</w:t>
      </w:r>
      <w:r w:rsidR="00B95FD3">
        <w:rPr>
          <w:rStyle w:val="HTMLCite"/>
        </w:rPr>
        <w:t xml:space="preserve"> </w:t>
      </w:r>
      <w:r>
        <w:rPr>
          <w:rStyle w:val="HTMLCite"/>
        </w:rPr>
        <w:t>resources/</w:t>
      </w:r>
      <w:r w:rsidR="00B95FD3">
        <w:rPr>
          <w:rStyle w:val="HTMLCite"/>
        </w:rPr>
        <w:t xml:space="preserve"> </w:t>
      </w:r>
      <w:r>
        <w:rPr>
          <w:rStyle w:val="HTMLCite"/>
        </w:rPr>
        <w:t>06news</w:t>
      </w:r>
      <w:r w:rsidRPr="007F6721">
        <w:rPr>
          <w:rStyle w:val="HTMLCite"/>
        </w:rPr>
        <w:t>.doc),</w:t>
      </w:r>
      <w:r w:rsidRPr="0080715C">
        <w:rPr>
          <w:rStyle w:val="HTMLCite"/>
        </w:rPr>
        <w:t xml:space="preserve"> </w:t>
      </w:r>
      <w:r w:rsidRPr="007F6721">
        <w:rPr>
          <w:rStyle w:val="HTMLCite"/>
        </w:rPr>
        <w:t>diakses tanggal 15 Maret 2011</w:t>
      </w:r>
      <w:r>
        <w:rPr>
          <w:rStyle w:val="HTMLCite"/>
        </w:rPr>
        <w:t>)</w:t>
      </w:r>
      <w:r w:rsidRPr="007F6721">
        <w:rPr>
          <w:rStyle w:val="HTMLCite"/>
        </w:rPr>
        <w:t>.</w:t>
      </w:r>
    </w:p>
    <w:p w:rsidR="00475239" w:rsidRDefault="00196821" w:rsidP="00F66727">
      <w:pPr>
        <w:pStyle w:val="Default"/>
        <w:ind w:left="567" w:hanging="567"/>
        <w:jc w:val="both"/>
      </w:pPr>
      <w:r>
        <w:t>[10</w:t>
      </w:r>
      <w:r w:rsidR="00400DD2">
        <w:t xml:space="preserve">] </w:t>
      </w:r>
      <w:r w:rsidR="00475239">
        <w:t xml:space="preserve">Palennari, M. 2012. Pengaruh Integrasi Problem Based Learning dengan Pembelajaran Kooperatif Jigsaw dan Kemampuan Akademik Terhadap Metakognisi, Berpikir Kritis, Pemahaman Konsep, dan Retensi pada Perkuliahan Biologi Dasar di FMIPA UNM. </w:t>
      </w:r>
      <w:r w:rsidR="00475239" w:rsidRPr="00873C39">
        <w:rPr>
          <w:i/>
        </w:rPr>
        <w:t xml:space="preserve">Disertasi </w:t>
      </w:r>
      <w:r w:rsidR="00475239">
        <w:t>Tidak Diterbitkan. Malang: PPs UM.</w:t>
      </w:r>
    </w:p>
    <w:p w:rsidR="00475239" w:rsidRPr="004A259E" w:rsidRDefault="00196821" w:rsidP="00F66727">
      <w:pPr>
        <w:pStyle w:val="Default"/>
        <w:ind w:left="426" w:hanging="426"/>
        <w:jc w:val="both"/>
        <w:rPr>
          <w:bCs/>
          <w:lang w:val="id-ID"/>
        </w:rPr>
      </w:pPr>
      <w:r>
        <w:t>[11</w:t>
      </w:r>
      <w:r w:rsidR="00400DD2">
        <w:t xml:space="preserve">] </w:t>
      </w:r>
      <w:r w:rsidR="00475239" w:rsidRPr="004A259E">
        <w:t xml:space="preserve">Peirce. 2003. </w:t>
      </w:r>
      <w:r w:rsidR="00475239" w:rsidRPr="004A259E">
        <w:rPr>
          <w:i/>
        </w:rPr>
        <w:t>Metacognition</w:t>
      </w:r>
      <w:r w:rsidR="00475239" w:rsidRPr="004A259E">
        <w:rPr>
          <w:bCs/>
          <w:i/>
        </w:rPr>
        <w:t>: Study Strategies, Monitoring, and Motivation.</w:t>
      </w:r>
      <w:r w:rsidR="00475239" w:rsidRPr="004A259E">
        <w:rPr>
          <w:i/>
        </w:rPr>
        <w:t xml:space="preserve"> A Greatly Expanded Text Version of a Workshop</w:t>
      </w:r>
      <w:r w:rsidR="00475239" w:rsidRPr="004A259E">
        <w:rPr>
          <w:i/>
          <w:lang w:val="id-ID"/>
        </w:rPr>
        <w:t xml:space="preserve"> </w:t>
      </w:r>
      <w:r w:rsidR="00475239" w:rsidRPr="004A259E">
        <w:t>Presented November 17, 2004 at Prince George's Community College</w:t>
      </w:r>
      <w:r w:rsidR="00475239" w:rsidRPr="004A259E">
        <w:rPr>
          <w:b/>
          <w:bCs/>
        </w:rPr>
        <w:t xml:space="preserve">. </w:t>
      </w:r>
      <w:r w:rsidR="00475239" w:rsidRPr="004A259E">
        <w:rPr>
          <w:bCs/>
        </w:rPr>
        <w:t>(Online), (</w:t>
      </w:r>
      <w:hyperlink r:id="rId13" w:history="1">
        <w:r w:rsidR="00475239" w:rsidRPr="004A259E">
          <w:rPr>
            <w:rStyle w:val="Hyperlink"/>
            <w:color w:val="auto"/>
          </w:rPr>
          <w:t>http://academic.pgcc.edu</w:t>
        </w:r>
        <w:r w:rsidR="00475239" w:rsidRPr="004A259E">
          <w:rPr>
            <w:rStyle w:val="Hyperlink"/>
            <w:color w:val="auto"/>
            <w:lang w:val="id-ID"/>
          </w:rPr>
          <w:t>.</w:t>
        </w:r>
        <w:r w:rsidR="00475239" w:rsidRPr="004A259E">
          <w:rPr>
            <w:rStyle w:val="Hyperlink"/>
            <w:color w:val="auto"/>
          </w:rPr>
          <w:t>htm</w:t>
        </w:r>
      </w:hyperlink>
      <w:r w:rsidR="00475239" w:rsidRPr="004A259E">
        <w:t>)</w:t>
      </w:r>
      <w:r w:rsidR="00475239" w:rsidRPr="004A259E">
        <w:rPr>
          <w:bCs/>
          <w:color w:val="auto"/>
        </w:rPr>
        <w:t>,  dika</w:t>
      </w:r>
      <w:r w:rsidR="00475239" w:rsidRPr="004A259E">
        <w:rPr>
          <w:bCs/>
        </w:rPr>
        <w:t>ses tanggal 15 Maret 2011.</w:t>
      </w:r>
    </w:p>
    <w:p w:rsidR="00475239" w:rsidRPr="004A259E" w:rsidRDefault="00196821" w:rsidP="00F66727">
      <w:pPr>
        <w:autoSpaceDE w:val="0"/>
        <w:autoSpaceDN w:val="0"/>
        <w:adjustRightInd w:val="0"/>
        <w:ind w:left="426" w:hanging="426"/>
        <w:jc w:val="both"/>
      </w:pPr>
      <w:r>
        <w:rPr>
          <w:bCs/>
        </w:rPr>
        <w:t>[12</w:t>
      </w:r>
      <w:r w:rsidR="00400DD2">
        <w:rPr>
          <w:bCs/>
        </w:rPr>
        <w:t xml:space="preserve">] </w:t>
      </w:r>
      <w:r w:rsidR="00475239" w:rsidRPr="004A259E">
        <w:rPr>
          <w:bCs/>
        </w:rPr>
        <w:t xml:space="preserve">Schraw, G. 1998. Promoting General Metacognitive Awareness. </w:t>
      </w:r>
      <w:r w:rsidR="00475239" w:rsidRPr="004A259E">
        <w:rPr>
          <w:i/>
          <w:iCs/>
        </w:rPr>
        <w:t>Instructional Science</w:t>
      </w:r>
      <w:r w:rsidR="00475239" w:rsidRPr="004A259E">
        <w:rPr>
          <w:i/>
          <w:iCs/>
          <w:lang w:val="id-ID"/>
        </w:rPr>
        <w:t xml:space="preserve">. </w:t>
      </w:r>
      <w:r w:rsidR="00475239" w:rsidRPr="004A259E">
        <w:rPr>
          <w:iCs/>
          <w:lang w:val="id-ID"/>
        </w:rPr>
        <w:t xml:space="preserve">Vol. </w:t>
      </w:r>
      <w:r w:rsidR="00475239" w:rsidRPr="004A259E">
        <w:rPr>
          <w:bCs/>
        </w:rPr>
        <w:t xml:space="preserve">26: </w:t>
      </w:r>
      <w:r w:rsidR="00475239" w:rsidRPr="004A259E">
        <w:t>113–125, 1998. (Online), (</w:t>
      </w:r>
      <w:hyperlink w:history="1">
        <w:r w:rsidR="00475239" w:rsidRPr="004A259E">
          <w:rPr>
            <w:rStyle w:val="Hyperlink"/>
          </w:rPr>
          <w:t>http://wiki.</w:t>
        </w:r>
        <w:r w:rsidR="00475239" w:rsidRPr="004A259E">
          <w:rPr>
            <w:rStyle w:val="Hyperlink"/>
            <w:lang w:val="id-ID"/>
          </w:rPr>
          <w:t xml:space="preserve"> </w:t>
        </w:r>
        <w:r w:rsidR="00475239" w:rsidRPr="004A259E">
          <w:rPr>
            <w:rStyle w:val="Hyperlink"/>
          </w:rPr>
          <w:t>biologyscholars.org/@api/.pdf</w:t>
        </w:r>
      </w:hyperlink>
      <w:r w:rsidR="00475239" w:rsidRPr="004A259E">
        <w:t>), diakses tanggal 15 Maret 2011.</w:t>
      </w:r>
    </w:p>
    <w:p w:rsidR="00475239" w:rsidRPr="004A259E" w:rsidRDefault="00196821" w:rsidP="00F66727">
      <w:pPr>
        <w:ind w:left="426" w:hanging="426"/>
        <w:jc w:val="both"/>
      </w:pPr>
      <w:r>
        <w:t>[13</w:t>
      </w:r>
      <w:r w:rsidR="00400DD2">
        <w:t xml:space="preserve">] </w:t>
      </w:r>
      <w:r w:rsidR="00475239" w:rsidRPr="004A259E">
        <w:t xml:space="preserve">Schraw, G. and Moshman, D. 1995. Metacognitive Theories. </w:t>
      </w:r>
      <w:r w:rsidR="00475239" w:rsidRPr="004A259E">
        <w:rPr>
          <w:i/>
        </w:rPr>
        <w:t>Educational Psychology Review</w:t>
      </w:r>
      <w:r w:rsidR="00475239" w:rsidRPr="004A259E">
        <w:rPr>
          <w:i/>
          <w:lang w:val="id-ID"/>
        </w:rPr>
        <w:t xml:space="preserve">. </w:t>
      </w:r>
      <w:r w:rsidR="00475239" w:rsidRPr="004A259E">
        <w:rPr>
          <w:lang w:val="id-ID"/>
        </w:rPr>
        <w:t>Vol.</w:t>
      </w:r>
      <w:r w:rsidR="00475239" w:rsidRPr="004A259E">
        <w:rPr>
          <w:i/>
        </w:rPr>
        <w:t xml:space="preserve"> </w:t>
      </w:r>
      <w:r w:rsidR="00475239" w:rsidRPr="004A259E">
        <w:t>7</w:t>
      </w:r>
      <w:r w:rsidR="00475239" w:rsidRPr="004A259E">
        <w:rPr>
          <w:lang w:val="id-ID"/>
        </w:rPr>
        <w:t xml:space="preserve"> (</w:t>
      </w:r>
      <w:r w:rsidR="00475239" w:rsidRPr="004A259E">
        <w:t xml:space="preserve"> 4</w:t>
      </w:r>
      <w:r w:rsidR="00475239" w:rsidRPr="004A259E">
        <w:rPr>
          <w:lang w:val="id-ID"/>
        </w:rPr>
        <w:t>)</w:t>
      </w:r>
      <w:r w:rsidR="00475239" w:rsidRPr="004A259E">
        <w:t>: 351–371.</w:t>
      </w:r>
    </w:p>
    <w:p w:rsidR="00475239" w:rsidRPr="004A259E" w:rsidRDefault="00196821" w:rsidP="00873C39">
      <w:pPr>
        <w:ind w:left="426" w:hanging="426"/>
        <w:jc w:val="both"/>
        <w:rPr>
          <w:lang w:val="sv-SE"/>
        </w:rPr>
      </w:pPr>
      <w:r>
        <w:rPr>
          <w:lang w:val="sv-SE"/>
        </w:rPr>
        <w:t>[14</w:t>
      </w:r>
      <w:r w:rsidR="00873C39">
        <w:rPr>
          <w:lang w:val="sv-SE"/>
        </w:rPr>
        <w:t xml:space="preserve">] </w:t>
      </w:r>
      <w:r w:rsidR="00475239" w:rsidRPr="004A259E">
        <w:rPr>
          <w:lang w:val="sv-SE"/>
        </w:rPr>
        <w:t xml:space="preserve">Schraw, G and Dennison, R.S. 1994. Assessing Metacognitive Awareness. </w:t>
      </w:r>
      <w:r w:rsidR="00475239" w:rsidRPr="004A259E">
        <w:rPr>
          <w:i/>
          <w:lang w:val="sv-SE"/>
        </w:rPr>
        <w:t>Contemporary Educational Psychology</w:t>
      </w:r>
      <w:r w:rsidR="00475239" w:rsidRPr="004A259E">
        <w:rPr>
          <w:lang w:val="sv-SE"/>
        </w:rPr>
        <w:t xml:space="preserve"> </w:t>
      </w:r>
      <w:r w:rsidR="00475239" w:rsidRPr="004A259E">
        <w:rPr>
          <w:lang w:val="id-ID"/>
        </w:rPr>
        <w:t xml:space="preserve">. Vol. </w:t>
      </w:r>
      <w:r w:rsidR="00475239" w:rsidRPr="004A259E">
        <w:rPr>
          <w:lang w:val="sv-SE"/>
        </w:rPr>
        <w:t>19: 460-475.</w:t>
      </w:r>
    </w:p>
    <w:p w:rsidR="002249FD" w:rsidRPr="002249FD" w:rsidRDefault="002249FD" w:rsidP="00F66727">
      <w:pPr>
        <w:jc w:val="both"/>
        <w:rPr>
          <w:color w:val="000000"/>
          <w:sz w:val="20"/>
          <w:szCs w:val="20"/>
          <w:lang w:val="en-AU"/>
        </w:rPr>
      </w:pPr>
    </w:p>
    <w:sectPr w:rsidR="002249FD" w:rsidRPr="002249FD" w:rsidSect="003F0AB8">
      <w:headerReference w:type="even" r:id="rId14"/>
      <w:headerReference w:type="default" r:id="rId15"/>
      <w:footnotePr>
        <w:pos w:val="beneathText"/>
      </w:footnotePr>
      <w:type w:val="continuous"/>
      <w:pgSz w:w="11905" w:h="16837"/>
      <w:pgMar w:top="1134" w:right="851" w:bottom="1281" w:left="851" w:header="720" w:footer="720"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7C0" w:rsidRDefault="006477C0" w:rsidP="004E422B">
      <w:r>
        <w:separator/>
      </w:r>
    </w:p>
  </w:endnote>
  <w:endnote w:type="continuationSeparator" w:id="1">
    <w:p w:rsidR="006477C0" w:rsidRDefault="006477C0" w:rsidP="004E4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MECN+TimesNewRoman">
    <w:altName w:val="Times New Roman"/>
    <w:charset w:val="00"/>
    <w:family w:val="roman"/>
    <w:pitch w:val="default"/>
    <w:sig w:usb0="00000000" w:usb1="00000000" w:usb2="00000000" w:usb3="00000000" w:csb0="00000000" w:csb1="00000000"/>
  </w:font>
  <w:font w:name="HAMEHF+TimesNewRoman">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36" w:type="dxa"/>
      <w:tblInd w:w="108" w:type="dxa"/>
      <w:tblBorders>
        <w:top w:val="double" w:sz="4" w:space="0" w:color="auto"/>
      </w:tblBorders>
      <w:tblLook w:val="04A0"/>
    </w:tblPr>
    <w:tblGrid>
      <w:gridCol w:w="10336"/>
    </w:tblGrid>
    <w:tr w:rsidR="00015D79" w:rsidRPr="00AF496F" w:rsidTr="00EE55FA">
      <w:trPr>
        <w:trHeight w:val="307"/>
      </w:trPr>
      <w:tc>
        <w:tcPr>
          <w:tcW w:w="10336" w:type="dxa"/>
        </w:tcPr>
        <w:p w:rsidR="00015D79" w:rsidRPr="00AF496F" w:rsidRDefault="00A03368" w:rsidP="00A03368">
          <w:pPr>
            <w:pStyle w:val="Footer"/>
            <w:spacing w:before="120"/>
            <w:jc w:val="center"/>
            <w:rPr>
              <w:b/>
              <w:bCs/>
              <w:sz w:val="16"/>
              <w:szCs w:val="16"/>
            </w:rPr>
          </w:pPr>
          <w:r>
            <w:rPr>
              <w:b/>
              <w:bCs/>
              <w:sz w:val="16"/>
              <w:szCs w:val="16"/>
            </w:rPr>
            <w:t>Simposium MIPA Universitas Negeri Makassar</w:t>
          </w:r>
          <w:r w:rsidR="00015D79" w:rsidRPr="00AF496F">
            <w:rPr>
              <w:b/>
              <w:bCs/>
              <w:sz w:val="16"/>
              <w:szCs w:val="16"/>
            </w:rPr>
            <w:t xml:space="preserve">, </w:t>
          </w:r>
          <w:r>
            <w:rPr>
              <w:b/>
              <w:bCs/>
              <w:sz w:val="16"/>
              <w:szCs w:val="16"/>
            </w:rPr>
            <w:t>25 Februari 2017</w:t>
          </w:r>
        </w:p>
      </w:tc>
    </w:tr>
    <w:tr w:rsidR="00015D79" w:rsidRPr="00AF496F" w:rsidTr="00EE55FA">
      <w:trPr>
        <w:trHeight w:val="275"/>
      </w:trPr>
      <w:tc>
        <w:tcPr>
          <w:tcW w:w="10336" w:type="dxa"/>
        </w:tcPr>
        <w:p w:rsidR="00015D79" w:rsidRPr="0047671F" w:rsidRDefault="008044F1" w:rsidP="00EE55FA">
          <w:pPr>
            <w:pStyle w:val="Footer"/>
            <w:spacing w:before="60"/>
            <w:jc w:val="center"/>
            <w:rPr>
              <w:b/>
              <w:bCs/>
              <w:i/>
              <w:sz w:val="16"/>
              <w:szCs w:val="16"/>
            </w:rPr>
          </w:pPr>
          <w:r>
            <w:rPr>
              <w:b/>
              <w:i/>
              <w:sz w:val="16"/>
              <w:szCs w:val="16"/>
            </w:rPr>
            <w:t>MIPA Open &amp; Exposition 2017</w:t>
          </w:r>
        </w:p>
      </w:tc>
    </w:tr>
  </w:tbl>
  <w:p w:rsidR="00015D79" w:rsidRDefault="00015D79" w:rsidP="00015D79">
    <w:pPr>
      <w:pStyle w:val="Footer"/>
    </w:pPr>
  </w:p>
  <w:p w:rsidR="00015D79" w:rsidRDefault="00015D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D3" w:rsidRPr="00015D79" w:rsidRDefault="00AF31D3">
    <w:pPr>
      <w:pStyle w:val="Footer"/>
      <w:rPr>
        <w:sz w:val="16"/>
        <w:szCs w:val="16"/>
      </w:rPr>
    </w:pPr>
  </w:p>
  <w:tbl>
    <w:tblPr>
      <w:tblW w:w="10336" w:type="dxa"/>
      <w:tblInd w:w="108" w:type="dxa"/>
      <w:tblBorders>
        <w:top w:val="double" w:sz="4" w:space="0" w:color="auto"/>
      </w:tblBorders>
      <w:tblLook w:val="04A0"/>
    </w:tblPr>
    <w:tblGrid>
      <w:gridCol w:w="10336"/>
    </w:tblGrid>
    <w:tr w:rsidR="008044F1" w:rsidRPr="00AF496F" w:rsidTr="001626E9">
      <w:trPr>
        <w:trHeight w:val="307"/>
      </w:trPr>
      <w:tc>
        <w:tcPr>
          <w:tcW w:w="10336" w:type="dxa"/>
        </w:tcPr>
        <w:p w:rsidR="008044F1" w:rsidRPr="00AF496F" w:rsidRDefault="008044F1" w:rsidP="008044F1">
          <w:pPr>
            <w:pStyle w:val="Footer"/>
            <w:spacing w:before="120"/>
            <w:jc w:val="center"/>
            <w:rPr>
              <w:b/>
              <w:bCs/>
              <w:sz w:val="16"/>
              <w:szCs w:val="16"/>
            </w:rPr>
          </w:pPr>
          <w:r>
            <w:rPr>
              <w:b/>
              <w:bCs/>
              <w:sz w:val="16"/>
              <w:szCs w:val="16"/>
            </w:rPr>
            <w:t>Simposium MIPA Universitas Negeri Makassar</w:t>
          </w:r>
          <w:r w:rsidRPr="00AF496F">
            <w:rPr>
              <w:b/>
              <w:bCs/>
              <w:sz w:val="16"/>
              <w:szCs w:val="16"/>
            </w:rPr>
            <w:t xml:space="preserve">, </w:t>
          </w:r>
          <w:r>
            <w:rPr>
              <w:b/>
              <w:bCs/>
              <w:sz w:val="16"/>
              <w:szCs w:val="16"/>
            </w:rPr>
            <w:t>25 Februari 2017</w:t>
          </w:r>
        </w:p>
      </w:tc>
    </w:tr>
    <w:tr w:rsidR="008044F1" w:rsidRPr="00AF496F" w:rsidTr="001626E9">
      <w:trPr>
        <w:trHeight w:val="275"/>
      </w:trPr>
      <w:tc>
        <w:tcPr>
          <w:tcW w:w="10336" w:type="dxa"/>
        </w:tcPr>
        <w:p w:rsidR="008044F1" w:rsidRPr="0047671F" w:rsidRDefault="008044F1" w:rsidP="008044F1">
          <w:pPr>
            <w:pStyle w:val="Footer"/>
            <w:spacing w:before="60"/>
            <w:jc w:val="center"/>
            <w:rPr>
              <w:b/>
              <w:bCs/>
              <w:i/>
              <w:sz w:val="16"/>
              <w:szCs w:val="16"/>
            </w:rPr>
          </w:pPr>
          <w:r>
            <w:rPr>
              <w:b/>
              <w:i/>
              <w:sz w:val="16"/>
              <w:szCs w:val="16"/>
            </w:rPr>
            <w:t>MIPA Open &amp; Exposition 2017</w:t>
          </w:r>
        </w:p>
      </w:tc>
    </w:tr>
  </w:tbl>
  <w:p w:rsidR="008044F1" w:rsidRDefault="008044F1" w:rsidP="008044F1">
    <w:pPr>
      <w:pStyle w:val="Footer"/>
    </w:pPr>
  </w:p>
  <w:p w:rsidR="00AF31D3" w:rsidRDefault="00AF31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7C0" w:rsidRDefault="006477C0" w:rsidP="004E422B">
      <w:r>
        <w:separator/>
      </w:r>
    </w:p>
  </w:footnote>
  <w:footnote w:type="continuationSeparator" w:id="1">
    <w:p w:rsidR="006477C0" w:rsidRDefault="006477C0" w:rsidP="004E4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B20" w:rsidRDefault="00B76889" w:rsidP="008044F1">
    <w:pPr>
      <w:pStyle w:val="Header"/>
      <w:pBdr>
        <w:bottom w:val="double" w:sz="4" w:space="1" w:color="auto"/>
      </w:pBdr>
      <w:tabs>
        <w:tab w:val="clear" w:pos="9360"/>
        <w:tab w:val="left" w:pos="5040"/>
        <w:tab w:val="right" w:pos="10170"/>
      </w:tabs>
      <w:rPr>
        <w:color w:val="7F7F7F"/>
        <w:spacing w:val="60"/>
      </w:rPr>
    </w:pPr>
    <w:r w:rsidRPr="00015D79">
      <w:rPr>
        <w:b/>
        <w:sz w:val="16"/>
        <w:szCs w:val="16"/>
      </w:rPr>
      <w:fldChar w:fldCharType="begin"/>
    </w:r>
    <w:r w:rsidR="00015D79" w:rsidRPr="00015D79">
      <w:rPr>
        <w:b/>
        <w:sz w:val="16"/>
        <w:szCs w:val="16"/>
      </w:rPr>
      <w:instrText xml:space="preserve"> PAGE   \* MERGEFORMAT </w:instrText>
    </w:r>
    <w:r w:rsidRPr="00015D79">
      <w:rPr>
        <w:b/>
        <w:sz w:val="16"/>
        <w:szCs w:val="16"/>
      </w:rPr>
      <w:fldChar w:fldCharType="separate"/>
    </w:r>
    <w:r w:rsidR="008044F1">
      <w:rPr>
        <w:b/>
        <w:noProof/>
        <w:sz w:val="16"/>
        <w:szCs w:val="16"/>
      </w:rPr>
      <w:t>2</w:t>
    </w:r>
    <w:r w:rsidRPr="00015D79">
      <w:rPr>
        <w:b/>
        <w:sz w:val="16"/>
        <w:szCs w:val="16"/>
      </w:rPr>
      <w:fldChar w:fldCharType="end"/>
    </w:r>
    <w:r w:rsidR="00015D79" w:rsidRPr="00015D79">
      <w:rPr>
        <w:b/>
        <w:sz w:val="16"/>
        <w:szCs w:val="16"/>
      </w:rPr>
      <w:t xml:space="preserve"> </w:t>
    </w:r>
    <w:r w:rsidR="00015D79">
      <w:rPr>
        <w:b/>
      </w:rPr>
      <w:tab/>
    </w:r>
    <w:r w:rsidR="00717B20">
      <w:rPr>
        <w:b/>
      </w:rPr>
      <w:tab/>
    </w:r>
    <w:r w:rsidR="008044F1">
      <w:rPr>
        <w:b/>
      </w:rPr>
      <w:tab/>
    </w:r>
    <w:r w:rsidR="00015D79" w:rsidRPr="00083FB1">
      <w:rPr>
        <w:b/>
        <w:color w:val="000000"/>
        <w:sz w:val="16"/>
        <w:szCs w:val="16"/>
        <w:lang w:val="fi-FI"/>
      </w:rPr>
      <w:t>Nama penulis</w:t>
    </w:r>
    <w:r w:rsidR="00015D79">
      <w:rPr>
        <w:b/>
        <w:color w:val="000000"/>
        <w:sz w:val="16"/>
        <w:szCs w:val="16"/>
        <w:lang w:val="fi-FI"/>
      </w:rPr>
      <w:t xml:space="preserve"> utama</w:t>
    </w:r>
    <w:r w:rsidR="00015D79" w:rsidRPr="00083FB1">
      <w:rPr>
        <w:b/>
        <w:color w:val="000000"/>
        <w:sz w:val="16"/>
        <w:szCs w:val="16"/>
      </w:rPr>
      <w:t xml:space="preserve"> /</w:t>
    </w:r>
    <w:r w:rsidR="00015D79">
      <w:rPr>
        <w:b/>
        <w:color w:val="000000"/>
        <w:sz w:val="16"/>
        <w:szCs w:val="16"/>
      </w:rPr>
      <w:t xml:space="preserve"> judul makalah</w:t>
    </w:r>
    <w:r w:rsidR="00717B20">
      <w:rPr>
        <w:color w:val="7F7F7F"/>
        <w:spacing w:val="60"/>
      </w:rPr>
      <w:t xml:space="preserve"> </w:t>
    </w:r>
  </w:p>
  <w:p w:rsidR="00015D79" w:rsidRPr="00015D79" w:rsidRDefault="00015D79" w:rsidP="00015D79">
    <w:pPr>
      <w:pStyle w:val="Header"/>
      <w:pBdr>
        <w:bottom w:val="double" w:sz="4" w:space="1" w:color="auto"/>
      </w:pBdr>
      <w:tabs>
        <w:tab w:val="clear" w:pos="9360"/>
        <w:tab w:val="right" w:pos="10170"/>
      </w:tabs>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D3" w:rsidRDefault="00083FB1" w:rsidP="00015D79">
    <w:pPr>
      <w:pBdr>
        <w:bottom w:val="double" w:sz="4" w:space="1" w:color="auto"/>
      </w:pBdr>
      <w:tabs>
        <w:tab w:val="left" w:pos="9360"/>
      </w:tabs>
      <w:rPr>
        <w:b/>
        <w:color w:val="000000"/>
        <w:sz w:val="16"/>
        <w:szCs w:val="16"/>
      </w:rPr>
    </w:pPr>
    <w:r w:rsidRPr="00083FB1">
      <w:rPr>
        <w:b/>
        <w:color w:val="000000"/>
        <w:sz w:val="16"/>
        <w:szCs w:val="16"/>
        <w:lang w:val="fi-FI"/>
      </w:rPr>
      <w:t>Nama penulis</w:t>
    </w:r>
    <w:r>
      <w:rPr>
        <w:b/>
        <w:color w:val="000000"/>
        <w:sz w:val="16"/>
        <w:szCs w:val="16"/>
        <w:lang w:val="fi-FI"/>
      </w:rPr>
      <w:t xml:space="preserve"> utama</w:t>
    </w:r>
    <w:r w:rsidRPr="00083FB1">
      <w:rPr>
        <w:b/>
        <w:color w:val="000000"/>
        <w:sz w:val="16"/>
        <w:szCs w:val="16"/>
      </w:rPr>
      <w:t xml:space="preserve"> /</w:t>
    </w:r>
    <w:r>
      <w:rPr>
        <w:b/>
        <w:color w:val="000000"/>
        <w:sz w:val="16"/>
        <w:szCs w:val="16"/>
      </w:rPr>
      <w:t xml:space="preserve"> judul makalah</w:t>
    </w:r>
    <w:r>
      <w:rPr>
        <w:b/>
        <w:color w:val="7F7F7F"/>
        <w:spacing w:val="60"/>
        <w:sz w:val="16"/>
        <w:szCs w:val="16"/>
      </w:rPr>
      <w:tab/>
    </w:r>
    <w:r>
      <w:rPr>
        <w:b/>
        <w:color w:val="7F7F7F"/>
        <w:spacing w:val="60"/>
        <w:sz w:val="16"/>
        <w:szCs w:val="16"/>
      </w:rPr>
      <w:tab/>
    </w:r>
    <w:r w:rsidRPr="00083FB1">
      <w:rPr>
        <w:b/>
        <w:color w:val="000000"/>
        <w:sz w:val="16"/>
        <w:szCs w:val="16"/>
      </w:rPr>
      <w:t xml:space="preserve"> </w:t>
    </w:r>
    <w:r w:rsidR="00B76889" w:rsidRPr="00083FB1">
      <w:rPr>
        <w:b/>
        <w:color w:val="000000"/>
        <w:sz w:val="16"/>
        <w:szCs w:val="16"/>
      </w:rPr>
      <w:fldChar w:fldCharType="begin"/>
    </w:r>
    <w:r w:rsidRPr="00083FB1">
      <w:rPr>
        <w:b/>
        <w:color w:val="000000"/>
        <w:sz w:val="16"/>
        <w:szCs w:val="16"/>
      </w:rPr>
      <w:instrText xml:space="preserve"> PAGE   \* MERGEFORMAT </w:instrText>
    </w:r>
    <w:r w:rsidR="00B76889" w:rsidRPr="00083FB1">
      <w:rPr>
        <w:b/>
        <w:color w:val="000000"/>
        <w:sz w:val="16"/>
        <w:szCs w:val="16"/>
      </w:rPr>
      <w:fldChar w:fldCharType="separate"/>
    </w:r>
    <w:r w:rsidR="006477C0">
      <w:rPr>
        <w:b/>
        <w:noProof/>
        <w:color w:val="000000"/>
        <w:sz w:val="16"/>
        <w:szCs w:val="16"/>
      </w:rPr>
      <w:t>1</w:t>
    </w:r>
    <w:r w:rsidR="00B76889" w:rsidRPr="00083FB1">
      <w:rPr>
        <w:b/>
        <w:color w:val="000000"/>
        <w:sz w:val="16"/>
        <w:szCs w:val="16"/>
      </w:rPr>
      <w:fldChar w:fldCharType="end"/>
    </w:r>
  </w:p>
  <w:p w:rsidR="00015D79" w:rsidRPr="00AF31D3" w:rsidRDefault="00015D79" w:rsidP="00015D79">
    <w:pPr>
      <w:pBdr>
        <w:bottom w:val="double" w:sz="4" w:space="1" w:color="auto"/>
      </w:pBdr>
      <w:tabs>
        <w:tab w:val="left" w:pos="9360"/>
      </w:tabs>
      <w:rPr>
        <w:b/>
        <w:color w:val="000000"/>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F1" w:rsidRDefault="00B76889" w:rsidP="008044F1">
    <w:pPr>
      <w:pStyle w:val="Header"/>
      <w:pBdr>
        <w:bottom w:val="double" w:sz="4" w:space="1" w:color="auto"/>
      </w:pBdr>
      <w:tabs>
        <w:tab w:val="clear" w:pos="9360"/>
        <w:tab w:val="left" w:pos="5040"/>
        <w:tab w:val="right" w:pos="10170"/>
      </w:tabs>
      <w:rPr>
        <w:color w:val="7F7F7F"/>
        <w:spacing w:val="60"/>
      </w:rPr>
    </w:pPr>
    <w:r w:rsidRPr="00015D79">
      <w:rPr>
        <w:b/>
        <w:sz w:val="16"/>
        <w:szCs w:val="16"/>
      </w:rPr>
      <w:fldChar w:fldCharType="begin"/>
    </w:r>
    <w:r w:rsidR="008044F1" w:rsidRPr="00015D79">
      <w:rPr>
        <w:b/>
        <w:sz w:val="16"/>
        <w:szCs w:val="16"/>
      </w:rPr>
      <w:instrText xml:space="preserve"> PAGE   \* MERGEFORMAT </w:instrText>
    </w:r>
    <w:r w:rsidRPr="00015D79">
      <w:rPr>
        <w:b/>
        <w:sz w:val="16"/>
        <w:szCs w:val="16"/>
      </w:rPr>
      <w:fldChar w:fldCharType="separate"/>
    </w:r>
    <w:r w:rsidR="008044F1">
      <w:rPr>
        <w:b/>
        <w:noProof/>
        <w:sz w:val="16"/>
        <w:szCs w:val="16"/>
      </w:rPr>
      <w:t>2</w:t>
    </w:r>
    <w:r w:rsidRPr="00015D79">
      <w:rPr>
        <w:b/>
        <w:sz w:val="16"/>
        <w:szCs w:val="16"/>
      </w:rPr>
      <w:fldChar w:fldCharType="end"/>
    </w:r>
    <w:r w:rsidR="008044F1" w:rsidRPr="00015D79">
      <w:rPr>
        <w:b/>
        <w:sz w:val="16"/>
        <w:szCs w:val="16"/>
      </w:rPr>
      <w:t xml:space="preserve"> </w:t>
    </w:r>
    <w:r w:rsidR="008044F1">
      <w:rPr>
        <w:b/>
      </w:rPr>
      <w:tab/>
    </w:r>
    <w:r w:rsidR="008044F1">
      <w:rPr>
        <w:b/>
      </w:rPr>
      <w:tab/>
    </w:r>
    <w:r w:rsidR="008044F1">
      <w:rPr>
        <w:b/>
      </w:rPr>
      <w:tab/>
    </w:r>
    <w:r w:rsidR="008044F1" w:rsidRPr="00083FB1">
      <w:rPr>
        <w:b/>
        <w:color w:val="000000"/>
        <w:sz w:val="16"/>
        <w:szCs w:val="16"/>
        <w:lang w:val="fi-FI"/>
      </w:rPr>
      <w:t>Nama penulis</w:t>
    </w:r>
    <w:r w:rsidR="008044F1">
      <w:rPr>
        <w:b/>
        <w:color w:val="000000"/>
        <w:sz w:val="16"/>
        <w:szCs w:val="16"/>
        <w:lang w:val="fi-FI"/>
      </w:rPr>
      <w:t xml:space="preserve"> utama</w:t>
    </w:r>
    <w:r w:rsidR="008044F1" w:rsidRPr="00083FB1">
      <w:rPr>
        <w:b/>
        <w:color w:val="000000"/>
        <w:sz w:val="16"/>
        <w:szCs w:val="16"/>
      </w:rPr>
      <w:t xml:space="preserve"> /</w:t>
    </w:r>
    <w:r w:rsidR="008044F1">
      <w:rPr>
        <w:b/>
        <w:color w:val="000000"/>
        <w:sz w:val="16"/>
        <w:szCs w:val="16"/>
      </w:rPr>
      <w:t xml:space="preserve"> judul makalah</w:t>
    </w:r>
    <w:r w:rsidR="008044F1">
      <w:rPr>
        <w:color w:val="7F7F7F"/>
        <w:spacing w:val="60"/>
      </w:rPr>
      <w:t xml:space="preserve"> </w:t>
    </w:r>
  </w:p>
  <w:p w:rsidR="008044F1" w:rsidRPr="00015D79" w:rsidRDefault="008044F1" w:rsidP="00015D79">
    <w:pPr>
      <w:pStyle w:val="Header"/>
      <w:pBdr>
        <w:bottom w:val="double" w:sz="4" w:space="1" w:color="auto"/>
      </w:pBdr>
      <w:tabs>
        <w:tab w:val="clear" w:pos="9360"/>
        <w:tab w:val="right" w:pos="10170"/>
      </w:tabs>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F1" w:rsidRDefault="008044F1" w:rsidP="00015D79">
    <w:pPr>
      <w:pBdr>
        <w:bottom w:val="double" w:sz="4" w:space="1" w:color="auto"/>
      </w:pBdr>
      <w:tabs>
        <w:tab w:val="left" w:pos="9360"/>
      </w:tabs>
      <w:rPr>
        <w:b/>
        <w:color w:val="000000"/>
        <w:sz w:val="16"/>
        <w:szCs w:val="16"/>
      </w:rPr>
    </w:pPr>
    <w:r w:rsidRPr="00083FB1">
      <w:rPr>
        <w:b/>
        <w:color w:val="000000"/>
        <w:sz w:val="16"/>
        <w:szCs w:val="16"/>
        <w:lang w:val="fi-FI"/>
      </w:rPr>
      <w:t>Nama penulis</w:t>
    </w:r>
    <w:r>
      <w:rPr>
        <w:b/>
        <w:color w:val="000000"/>
        <w:sz w:val="16"/>
        <w:szCs w:val="16"/>
        <w:lang w:val="fi-FI"/>
      </w:rPr>
      <w:t xml:space="preserve"> utama</w:t>
    </w:r>
    <w:r w:rsidRPr="00083FB1">
      <w:rPr>
        <w:b/>
        <w:color w:val="000000"/>
        <w:sz w:val="16"/>
        <w:szCs w:val="16"/>
      </w:rPr>
      <w:t xml:space="preserve"> /</w:t>
    </w:r>
    <w:r>
      <w:rPr>
        <w:b/>
        <w:color w:val="000000"/>
        <w:sz w:val="16"/>
        <w:szCs w:val="16"/>
      </w:rPr>
      <w:t xml:space="preserve"> judul makalah</w:t>
    </w:r>
    <w:r>
      <w:rPr>
        <w:b/>
        <w:color w:val="7F7F7F"/>
        <w:spacing w:val="60"/>
        <w:sz w:val="16"/>
        <w:szCs w:val="16"/>
      </w:rPr>
      <w:tab/>
    </w:r>
    <w:r>
      <w:rPr>
        <w:b/>
        <w:color w:val="7F7F7F"/>
        <w:spacing w:val="60"/>
        <w:sz w:val="16"/>
        <w:szCs w:val="16"/>
      </w:rPr>
      <w:tab/>
    </w:r>
    <w:r w:rsidRPr="00083FB1">
      <w:rPr>
        <w:b/>
        <w:color w:val="000000"/>
        <w:sz w:val="16"/>
        <w:szCs w:val="16"/>
      </w:rPr>
      <w:t xml:space="preserve"> </w:t>
    </w:r>
    <w:r w:rsidR="00B76889" w:rsidRPr="00083FB1">
      <w:rPr>
        <w:b/>
        <w:color w:val="000000"/>
        <w:sz w:val="16"/>
        <w:szCs w:val="16"/>
      </w:rPr>
      <w:fldChar w:fldCharType="begin"/>
    </w:r>
    <w:r w:rsidRPr="00083FB1">
      <w:rPr>
        <w:b/>
        <w:color w:val="000000"/>
        <w:sz w:val="16"/>
        <w:szCs w:val="16"/>
      </w:rPr>
      <w:instrText xml:space="preserve"> PAGE   \* MERGEFORMAT </w:instrText>
    </w:r>
    <w:r w:rsidR="00B76889" w:rsidRPr="00083FB1">
      <w:rPr>
        <w:b/>
        <w:color w:val="000000"/>
        <w:sz w:val="16"/>
        <w:szCs w:val="16"/>
      </w:rPr>
      <w:fldChar w:fldCharType="separate"/>
    </w:r>
    <w:r w:rsidR="00B95FD3">
      <w:rPr>
        <w:b/>
        <w:noProof/>
        <w:color w:val="000000"/>
        <w:sz w:val="16"/>
        <w:szCs w:val="16"/>
      </w:rPr>
      <w:t>5</w:t>
    </w:r>
    <w:r w:rsidR="00B76889" w:rsidRPr="00083FB1">
      <w:rPr>
        <w:b/>
        <w:color w:val="000000"/>
        <w:sz w:val="16"/>
        <w:szCs w:val="16"/>
      </w:rPr>
      <w:fldChar w:fldCharType="end"/>
    </w:r>
  </w:p>
  <w:p w:rsidR="008044F1" w:rsidRPr="00AF31D3" w:rsidRDefault="008044F1" w:rsidP="00015D79">
    <w:pPr>
      <w:pBdr>
        <w:bottom w:val="double" w:sz="4" w:space="1" w:color="auto"/>
      </w:pBdr>
      <w:tabs>
        <w:tab w:val="left" w:pos="9360"/>
      </w:tabs>
      <w:rPr>
        <w:b/>
        <w:color w:val="00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6D07"/>
    <w:multiLevelType w:val="hybridMultilevel"/>
    <w:tmpl w:val="A718D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6357F"/>
    <w:multiLevelType w:val="hybridMultilevel"/>
    <w:tmpl w:val="3252CC68"/>
    <w:lvl w:ilvl="0" w:tplc="9C4A557E">
      <w:start w:val="1"/>
      <w:numFmt w:val="decimal"/>
      <w:lvlText w:val="[%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37504"/>
    <w:multiLevelType w:val="hybridMultilevel"/>
    <w:tmpl w:val="9410A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E0CAA"/>
    <w:multiLevelType w:val="hybridMultilevel"/>
    <w:tmpl w:val="F61C138A"/>
    <w:lvl w:ilvl="0" w:tplc="CE1A60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92595B"/>
    <w:multiLevelType w:val="hybridMultilevel"/>
    <w:tmpl w:val="77B4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864447"/>
    <w:multiLevelType w:val="hybridMultilevel"/>
    <w:tmpl w:val="58EE1BAE"/>
    <w:lvl w:ilvl="0" w:tplc="CE1A60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rawingGridVerticalSpacing w:val="0"/>
  <w:displayHorizontalDrawingGridEvery w:val="0"/>
  <w:displayVerticalDrawingGridEvery w:val="0"/>
  <w:characterSpacingControl w:val="doNotCompress"/>
  <w:savePreviewPicture/>
  <w:hdrShapeDefaults>
    <o:shapedefaults v:ext="edit" spidmax="12290">
      <o:colormenu v:ext="edit" strokecolor="none"/>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EA1E0D"/>
    <w:rsid w:val="00015D79"/>
    <w:rsid w:val="0002378E"/>
    <w:rsid w:val="0005136F"/>
    <w:rsid w:val="000709E5"/>
    <w:rsid w:val="00070C83"/>
    <w:rsid w:val="00083FB1"/>
    <w:rsid w:val="00090D77"/>
    <w:rsid w:val="000A1ADC"/>
    <w:rsid w:val="000E0895"/>
    <w:rsid w:val="001626E9"/>
    <w:rsid w:val="00196821"/>
    <w:rsid w:val="001C2D68"/>
    <w:rsid w:val="001C475A"/>
    <w:rsid w:val="001C5195"/>
    <w:rsid w:val="001F0972"/>
    <w:rsid w:val="002249FD"/>
    <w:rsid w:val="00275941"/>
    <w:rsid w:val="002B5696"/>
    <w:rsid w:val="002D014B"/>
    <w:rsid w:val="003211B0"/>
    <w:rsid w:val="0035547A"/>
    <w:rsid w:val="00364E87"/>
    <w:rsid w:val="003F0AB8"/>
    <w:rsid w:val="00400DD2"/>
    <w:rsid w:val="00440FD7"/>
    <w:rsid w:val="00475239"/>
    <w:rsid w:val="004A0D17"/>
    <w:rsid w:val="004E422B"/>
    <w:rsid w:val="005074BE"/>
    <w:rsid w:val="005269F3"/>
    <w:rsid w:val="005374DA"/>
    <w:rsid w:val="005819CF"/>
    <w:rsid w:val="005A692B"/>
    <w:rsid w:val="005B1023"/>
    <w:rsid w:val="005C1334"/>
    <w:rsid w:val="005E154F"/>
    <w:rsid w:val="00603005"/>
    <w:rsid w:val="00615E0F"/>
    <w:rsid w:val="00636F2A"/>
    <w:rsid w:val="006477C0"/>
    <w:rsid w:val="00680A58"/>
    <w:rsid w:val="006C42C6"/>
    <w:rsid w:val="00717740"/>
    <w:rsid w:val="00717B20"/>
    <w:rsid w:val="00743C98"/>
    <w:rsid w:val="007473C7"/>
    <w:rsid w:val="00762761"/>
    <w:rsid w:val="00781A11"/>
    <w:rsid w:val="00785D24"/>
    <w:rsid w:val="007A6EA6"/>
    <w:rsid w:val="007D26CB"/>
    <w:rsid w:val="00803EE0"/>
    <w:rsid w:val="008044F1"/>
    <w:rsid w:val="00850C56"/>
    <w:rsid w:val="00873C39"/>
    <w:rsid w:val="00896DA5"/>
    <w:rsid w:val="008A7C97"/>
    <w:rsid w:val="008E5E38"/>
    <w:rsid w:val="00901F65"/>
    <w:rsid w:val="009306DD"/>
    <w:rsid w:val="00941983"/>
    <w:rsid w:val="00975B71"/>
    <w:rsid w:val="00977F92"/>
    <w:rsid w:val="009811EB"/>
    <w:rsid w:val="009F2E32"/>
    <w:rsid w:val="009F3F1E"/>
    <w:rsid w:val="00A03368"/>
    <w:rsid w:val="00A60BA2"/>
    <w:rsid w:val="00AA756F"/>
    <w:rsid w:val="00AF31D3"/>
    <w:rsid w:val="00AF6ABA"/>
    <w:rsid w:val="00B12E42"/>
    <w:rsid w:val="00B4505A"/>
    <w:rsid w:val="00B66F11"/>
    <w:rsid w:val="00B76889"/>
    <w:rsid w:val="00B77F77"/>
    <w:rsid w:val="00B95FD3"/>
    <w:rsid w:val="00BA6626"/>
    <w:rsid w:val="00BD4D72"/>
    <w:rsid w:val="00BD5AA2"/>
    <w:rsid w:val="00C26048"/>
    <w:rsid w:val="00C509B1"/>
    <w:rsid w:val="00C556E6"/>
    <w:rsid w:val="00CB40F7"/>
    <w:rsid w:val="00CE053D"/>
    <w:rsid w:val="00CE4416"/>
    <w:rsid w:val="00D67141"/>
    <w:rsid w:val="00DB4724"/>
    <w:rsid w:val="00DB5720"/>
    <w:rsid w:val="00DE740A"/>
    <w:rsid w:val="00E01471"/>
    <w:rsid w:val="00E41128"/>
    <w:rsid w:val="00E516AF"/>
    <w:rsid w:val="00E6492B"/>
    <w:rsid w:val="00E93E4A"/>
    <w:rsid w:val="00EA1E0D"/>
    <w:rsid w:val="00EA6099"/>
    <w:rsid w:val="00EB6882"/>
    <w:rsid w:val="00EB7073"/>
    <w:rsid w:val="00EE55FA"/>
    <w:rsid w:val="00F1134C"/>
    <w:rsid w:val="00F66727"/>
    <w:rsid w:val="00F71DE8"/>
    <w:rsid w:val="00FC7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E6"/>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556E6"/>
  </w:style>
  <w:style w:type="character" w:styleId="FollowedHyperlink">
    <w:name w:val="FollowedHyperlink"/>
    <w:semiHidden/>
    <w:rsid w:val="00C556E6"/>
    <w:rPr>
      <w:color w:val="800080"/>
      <w:u w:val="single"/>
    </w:rPr>
  </w:style>
  <w:style w:type="paragraph" w:customStyle="1" w:styleId="Heading">
    <w:name w:val="Heading"/>
    <w:basedOn w:val="Normal"/>
    <w:next w:val="BodyText"/>
    <w:rsid w:val="00C556E6"/>
    <w:pPr>
      <w:keepNext/>
      <w:spacing w:before="240" w:after="120"/>
    </w:pPr>
    <w:rPr>
      <w:rFonts w:ascii="Arial" w:eastAsia="MS Mincho" w:hAnsi="Arial" w:cs="Tahoma"/>
      <w:sz w:val="28"/>
      <w:szCs w:val="28"/>
    </w:rPr>
  </w:style>
  <w:style w:type="paragraph" w:styleId="BodyText">
    <w:name w:val="Body Text"/>
    <w:basedOn w:val="Normal"/>
    <w:semiHidden/>
    <w:rsid w:val="00C556E6"/>
    <w:pPr>
      <w:spacing w:after="120"/>
    </w:pPr>
  </w:style>
  <w:style w:type="paragraph" w:styleId="List">
    <w:name w:val="List"/>
    <w:basedOn w:val="BodyText"/>
    <w:semiHidden/>
    <w:rsid w:val="00C556E6"/>
    <w:rPr>
      <w:rFonts w:cs="Tahoma"/>
    </w:rPr>
  </w:style>
  <w:style w:type="paragraph" w:styleId="Caption">
    <w:name w:val="caption"/>
    <w:basedOn w:val="Normal"/>
    <w:qFormat/>
    <w:rsid w:val="00C556E6"/>
    <w:pPr>
      <w:suppressLineNumbers/>
      <w:spacing w:before="120" w:after="120"/>
    </w:pPr>
    <w:rPr>
      <w:rFonts w:cs="Tahoma"/>
      <w:i/>
      <w:iCs/>
    </w:rPr>
  </w:style>
  <w:style w:type="paragraph" w:customStyle="1" w:styleId="Index">
    <w:name w:val="Index"/>
    <w:basedOn w:val="Normal"/>
    <w:rsid w:val="00C556E6"/>
    <w:pPr>
      <w:suppressLineNumbers/>
    </w:pPr>
    <w:rPr>
      <w:rFonts w:cs="Tahoma"/>
    </w:rPr>
  </w:style>
  <w:style w:type="paragraph" w:customStyle="1" w:styleId="authorname">
    <w:name w:val="author name"/>
    <w:basedOn w:val="Normal"/>
    <w:next w:val="Normal"/>
    <w:rsid w:val="00C556E6"/>
    <w:pPr>
      <w:autoSpaceDE w:val="0"/>
    </w:pPr>
    <w:rPr>
      <w:rFonts w:ascii="HAMECN+TimesNewRoman" w:hAnsi="HAMECN+TimesNewRoman"/>
    </w:rPr>
  </w:style>
  <w:style w:type="paragraph" w:customStyle="1" w:styleId="authoraffiliation">
    <w:name w:val="author affiliation"/>
    <w:basedOn w:val="Normal"/>
    <w:next w:val="Normal"/>
    <w:rsid w:val="00C556E6"/>
    <w:pPr>
      <w:autoSpaceDE w:val="0"/>
    </w:pPr>
    <w:rPr>
      <w:rFonts w:ascii="HAMECN+TimesNewRoman" w:hAnsi="HAMECN+TimesNewRoman"/>
    </w:rPr>
  </w:style>
  <w:style w:type="paragraph" w:customStyle="1" w:styleId="WW-Default">
    <w:name w:val="WW-Default"/>
    <w:rsid w:val="00C556E6"/>
    <w:pPr>
      <w:suppressAutoHyphens/>
      <w:autoSpaceDE w:val="0"/>
    </w:pPr>
    <w:rPr>
      <w:rFonts w:ascii="HAMEHF+TimesNewRoman" w:eastAsia="Arial" w:hAnsi="HAMEHF+TimesNewRoman" w:cs="HAMEHF+TimesNewRoman"/>
      <w:color w:val="000000"/>
      <w:sz w:val="24"/>
      <w:szCs w:val="24"/>
      <w:lang w:eastAsia="ar-SA"/>
    </w:rPr>
  </w:style>
  <w:style w:type="paragraph" w:customStyle="1" w:styleId="abstract">
    <w:name w:val="abstract"/>
    <w:basedOn w:val="WW-Default"/>
    <w:next w:val="WW-Default"/>
    <w:rsid w:val="00C556E6"/>
    <w:rPr>
      <w:rFonts w:cs="Times New Roman"/>
      <w:color w:val="auto"/>
    </w:rPr>
  </w:style>
  <w:style w:type="paragraph" w:customStyle="1" w:styleId="sectionhead1">
    <w:name w:val="section head (1)"/>
    <w:basedOn w:val="WW-Default"/>
    <w:next w:val="WW-Default"/>
    <w:rsid w:val="00C556E6"/>
    <w:rPr>
      <w:rFonts w:cs="Times New Roman"/>
      <w:color w:val="auto"/>
    </w:rPr>
  </w:style>
  <w:style w:type="paragraph" w:customStyle="1" w:styleId="text">
    <w:name w:val="text"/>
    <w:basedOn w:val="WW-Default"/>
    <w:next w:val="WW-Default"/>
    <w:rsid w:val="00C556E6"/>
    <w:rPr>
      <w:rFonts w:cs="Times New Roman"/>
      <w:color w:val="auto"/>
    </w:rPr>
  </w:style>
  <w:style w:type="paragraph" w:customStyle="1" w:styleId="Head2">
    <w:name w:val="Head 2"/>
    <w:basedOn w:val="WW-Default"/>
    <w:next w:val="WW-Default"/>
    <w:rsid w:val="00C556E6"/>
    <w:rPr>
      <w:rFonts w:cs="Times New Roman"/>
      <w:color w:val="auto"/>
    </w:rPr>
  </w:style>
  <w:style w:type="paragraph" w:customStyle="1" w:styleId="sectionheadnonums">
    <w:name w:val="section head (no nums)"/>
    <w:basedOn w:val="WW-Default"/>
    <w:next w:val="WW-Default"/>
    <w:rsid w:val="00C556E6"/>
    <w:rPr>
      <w:rFonts w:ascii="HAMECN+TimesNewRoman" w:hAnsi="HAMECN+TimesNewRoman" w:cs="Times New Roman"/>
      <w:color w:val="auto"/>
    </w:rPr>
  </w:style>
  <w:style w:type="paragraph" w:customStyle="1" w:styleId="references">
    <w:name w:val="references"/>
    <w:basedOn w:val="WW-Default"/>
    <w:next w:val="WW-Default"/>
    <w:rsid w:val="00C556E6"/>
    <w:rPr>
      <w:rFonts w:ascii="HAMECN+TimesNewRoman" w:hAnsi="HAMECN+TimesNewRoman" w:cs="Times New Roman"/>
      <w:color w:val="auto"/>
    </w:rPr>
  </w:style>
  <w:style w:type="paragraph" w:customStyle="1" w:styleId="TableContents">
    <w:name w:val="Table Contents"/>
    <w:basedOn w:val="Normal"/>
    <w:rsid w:val="00C556E6"/>
    <w:pPr>
      <w:suppressLineNumbers/>
    </w:pPr>
  </w:style>
  <w:style w:type="paragraph" w:customStyle="1" w:styleId="TableHeading">
    <w:name w:val="Table Heading"/>
    <w:basedOn w:val="TableContents"/>
    <w:rsid w:val="00C556E6"/>
    <w:pPr>
      <w:jc w:val="center"/>
    </w:pPr>
    <w:rPr>
      <w:b/>
      <w:bCs/>
    </w:rPr>
  </w:style>
  <w:style w:type="paragraph" w:styleId="ListParagraph">
    <w:name w:val="List Paragraph"/>
    <w:basedOn w:val="Normal"/>
    <w:link w:val="ListParagraphChar"/>
    <w:uiPriority w:val="34"/>
    <w:qFormat/>
    <w:rsid w:val="009306DD"/>
    <w:pPr>
      <w:suppressAutoHyphens w:val="0"/>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9306DD"/>
    <w:rPr>
      <w:color w:val="0000FF"/>
      <w:u w:val="single"/>
    </w:rPr>
  </w:style>
  <w:style w:type="table" w:styleId="TableGrid">
    <w:name w:val="Table Grid"/>
    <w:basedOn w:val="TableNormal"/>
    <w:uiPriority w:val="59"/>
    <w:rsid w:val="00FC7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422B"/>
    <w:pPr>
      <w:tabs>
        <w:tab w:val="center" w:pos="4680"/>
        <w:tab w:val="right" w:pos="9360"/>
      </w:tabs>
    </w:pPr>
  </w:style>
  <w:style w:type="character" w:customStyle="1" w:styleId="HeaderChar">
    <w:name w:val="Header Char"/>
    <w:link w:val="Header"/>
    <w:uiPriority w:val="99"/>
    <w:rsid w:val="004E422B"/>
    <w:rPr>
      <w:sz w:val="24"/>
      <w:szCs w:val="24"/>
      <w:lang w:eastAsia="ar-SA"/>
    </w:rPr>
  </w:style>
  <w:style w:type="paragraph" w:styleId="Footer">
    <w:name w:val="footer"/>
    <w:basedOn w:val="Normal"/>
    <w:link w:val="FooterChar"/>
    <w:uiPriority w:val="99"/>
    <w:unhideWhenUsed/>
    <w:rsid w:val="004E422B"/>
    <w:pPr>
      <w:tabs>
        <w:tab w:val="center" w:pos="4680"/>
        <w:tab w:val="right" w:pos="9360"/>
      </w:tabs>
    </w:pPr>
  </w:style>
  <w:style w:type="character" w:customStyle="1" w:styleId="FooterChar">
    <w:name w:val="Footer Char"/>
    <w:link w:val="Footer"/>
    <w:uiPriority w:val="99"/>
    <w:rsid w:val="004E422B"/>
    <w:rPr>
      <w:sz w:val="24"/>
      <w:szCs w:val="24"/>
      <w:lang w:eastAsia="ar-SA"/>
    </w:rPr>
  </w:style>
  <w:style w:type="paragraph" w:styleId="BalloonText">
    <w:name w:val="Balloon Text"/>
    <w:basedOn w:val="Normal"/>
    <w:link w:val="BalloonTextChar"/>
    <w:uiPriority w:val="99"/>
    <w:semiHidden/>
    <w:unhideWhenUsed/>
    <w:rsid w:val="004E422B"/>
    <w:rPr>
      <w:rFonts w:ascii="Tahoma" w:hAnsi="Tahoma" w:cs="Tahoma"/>
      <w:sz w:val="16"/>
      <w:szCs w:val="16"/>
    </w:rPr>
  </w:style>
  <w:style w:type="character" w:customStyle="1" w:styleId="BalloonTextChar">
    <w:name w:val="Balloon Text Char"/>
    <w:link w:val="BalloonText"/>
    <w:uiPriority w:val="99"/>
    <w:semiHidden/>
    <w:rsid w:val="004E422B"/>
    <w:rPr>
      <w:rFonts w:ascii="Tahoma" w:hAnsi="Tahoma" w:cs="Tahoma"/>
      <w:sz w:val="16"/>
      <w:szCs w:val="16"/>
      <w:lang w:eastAsia="ar-SA"/>
    </w:rPr>
  </w:style>
  <w:style w:type="paragraph" w:styleId="Title">
    <w:name w:val="Title"/>
    <w:basedOn w:val="Normal"/>
    <w:link w:val="TitleChar"/>
    <w:qFormat/>
    <w:rsid w:val="00717740"/>
    <w:pPr>
      <w:suppressAutoHyphens w:val="0"/>
      <w:spacing w:line="480" w:lineRule="auto"/>
      <w:jc w:val="center"/>
    </w:pPr>
    <w:rPr>
      <w:b/>
      <w:bCs/>
      <w:lang w:val="en-GB" w:eastAsia="en-US"/>
    </w:rPr>
  </w:style>
  <w:style w:type="character" w:customStyle="1" w:styleId="TitleChar">
    <w:name w:val="Title Char"/>
    <w:basedOn w:val="DefaultParagraphFont"/>
    <w:link w:val="Title"/>
    <w:rsid w:val="00717740"/>
    <w:rPr>
      <w:b/>
      <w:bCs/>
      <w:sz w:val="24"/>
      <w:szCs w:val="24"/>
      <w:lang w:val="en-GB"/>
    </w:rPr>
  </w:style>
  <w:style w:type="character" w:customStyle="1" w:styleId="ListParagraphChar">
    <w:name w:val="List Paragraph Char"/>
    <w:link w:val="ListParagraph"/>
    <w:uiPriority w:val="34"/>
    <w:locked/>
    <w:rsid w:val="007A6EA6"/>
    <w:rPr>
      <w:rFonts w:ascii="Calibri" w:eastAsia="Calibri" w:hAnsi="Calibri"/>
      <w:sz w:val="22"/>
      <w:szCs w:val="22"/>
    </w:rPr>
  </w:style>
  <w:style w:type="paragraph" w:styleId="BodyTextIndent">
    <w:name w:val="Body Text Indent"/>
    <w:basedOn w:val="Normal"/>
    <w:link w:val="BodyTextIndentChar"/>
    <w:uiPriority w:val="99"/>
    <w:semiHidden/>
    <w:unhideWhenUsed/>
    <w:rsid w:val="00475239"/>
    <w:pPr>
      <w:spacing w:after="120"/>
      <w:ind w:left="360"/>
    </w:pPr>
  </w:style>
  <w:style w:type="character" w:customStyle="1" w:styleId="BodyTextIndentChar">
    <w:name w:val="Body Text Indent Char"/>
    <w:basedOn w:val="DefaultParagraphFont"/>
    <w:link w:val="BodyTextIndent"/>
    <w:uiPriority w:val="99"/>
    <w:semiHidden/>
    <w:rsid w:val="00475239"/>
    <w:rPr>
      <w:sz w:val="24"/>
      <w:szCs w:val="24"/>
      <w:lang w:eastAsia="ar-SA"/>
    </w:rPr>
  </w:style>
  <w:style w:type="paragraph" w:customStyle="1" w:styleId="Default">
    <w:name w:val="Default"/>
    <w:rsid w:val="00475239"/>
    <w:pPr>
      <w:autoSpaceDE w:val="0"/>
      <w:autoSpaceDN w:val="0"/>
      <w:adjustRightInd w:val="0"/>
    </w:pPr>
    <w:rPr>
      <w:rFonts w:eastAsiaTheme="minorHAnsi"/>
      <w:color w:val="000000"/>
      <w:sz w:val="24"/>
      <w:szCs w:val="24"/>
    </w:rPr>
  </w:style>
  <w:style w:type="character" w:styleId="HTMLCite">
    <w:name w:val="HTML Cite"/>
    <w:basedOn w:val="DefaultParagraphFont"/>
    <w:uiPriority w:val="99"/>
    <w:unhideWhenUsed/>
    <w:rsid w:val="0019682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cademic.pgcc.edu.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eb.mac.com/%20jopfer/cours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D:\PENELITIAN\PNBP\PNBP%202016\Logbook%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Sheet1!$H$6:$H$7</c:f>
              <c:strCache>
                <c:ptCount val="1"/>
                <c:pt idx="0">
                  <c:v>SBMPTN %</c:v>
                </c:pt>
              </c:strCache>
            </c:strRef>
          </c:tx>
          <c:cat>
            <c:multiLvlStrRef>
              <c:f>Sheet1!$F$8:$G$17</c:f>
              <c:multiLvlStrCache>
                <c:ptCount val="10"/>
                <c:lvl>
                  <c:pt idx="0">
                    <c:v>B</c:v>
                  </c:pt>
                  <c:pt idx="1">
                    <c:v>BBK</c:v>
                  </c:pt>
                  <c:pt idx="2">
                    <c:v>MB</c:v>
                  </c:pt>
                  <c:pt idx="3">
                    <c:v>BB</c:v>
                  </c:pt>
                  <c:pt idx="4">
                    <c:v>BSB</c:v>
                  </c:pt>
                  <c:pt idx="5">
                    <c:v>B</c:v>
                  </c:pt>
                  <c:pt idx="6">
                    <c:v>BBK</c:v>
                  </c:pt>
                  <c:pt idx="7">
                    <c:v>MB</c:v>
                  </c:pt>
                  <c:pt idx="8">
                    <c:v>BB</c:v>
                  </c:pt>
                  <c:pt idx="9">
                    <c:v>BSB</c:v>
                  </c:pt>
                </c:lvl>
                <c:lvl>
                  <c:pt idx="0">
                    <c:v>Pengetahuan Metakognisi</c:v>
                  </c:pt>
                  <c:pt idx="5">
                    <c:v>Regulasi Metakognisi</c:v>
                  </c:pt>
                </c:lvl>
              </c:multiLvlStrCache>
            </c:multiLvlStrRef>
          </c:cat>
          <c:val>
            <c:numRef>
              <c:f>Sheet1!$H$8:$H$17</c:f>
              <c:numCache>
                <c:formatCode>General</c:formatCode>
                <c:ptCount val="10"/>
                <c:pt idx="0">
                  <c:v>0</c:v>
                </c:pt>
                <c:pt idx="1">
                  <c:v>0</c:v>
                </c:pt>
                <c:pt idx="2">
                  <c:v>2.5</c:v>
                </c:pt>
                <c:pt idx="3">
                  <c:v>78.75</c:v>
                </c:pt>
                <c:pt idx="4">
                  <c:v>18.75</c:v>
                </c:pt>
                <c:pt idx="5">
                  <c:v>0</c:v>
                </c:pt>
                <c:pt idx="6">
                  <c:v>0</c:v>
                </c:pt>
                <c:pt idx="7">
                  <c:v>0</c:v>
                </c:pt>
                <c:pt idx="8">
                  <c:v>70</c:v>
                </c:pt>
                <c:pt idx="9">
                  <c:v>28.75</c:v>
                </c:pt>
              </c:numCache>
            </c:numRef>
          </c:val>
        </c:ser>
        <c:ser>
          <c:idx val="1"/>
          <c:order val="1"/>
          <c:tx>
            <c:strRef>
              <c:f>Sheet1!$I$6:$I$7</c:f>
              <c:strCache>
                <c:ptCount val="1"/>
                <c:pt idx="0">
                  <c:v>SNMPTN %</c:v>
                </c:pt>
              </c:strCache>
            </c:strRef>
          </c:tx>
          <c:cat>
            <c:multiLvlStrRef>
              <c:f>Sheet1!$F$8:$G$17</c:f>
              <c:multiLvlStrCache>
                <c:ptCount val="10"/>
                <c:lvl>
                  <c:pt idx="0">
                    <c:v>B</c:v>
                  </c:pt>
                  <c:pt idx="1">
                    <c:v>BBK</c:v>
                  </c:pt>
                  <c:pt idx="2">
                    <c:v>MB</c:v>
                  </c:pt>
                  <c:pt idx="3">
                    <c:v>BB</c:v>
                  </c:pt>
                  <c:pt idx="4">
                    <c:v>BSB</c:v>
                  </c:pt>
                  <c:pt idx="5">
                    <c:v>B</c:v>
                  </c:pt>
                  <c:pt idx="6">
                    <c:v>BBK</c:v>
                  </c:pt>
                  <c:pt idx="7">
                    <c:v>MB</c:v>
                  </c:pt>
                  <c:pt idx="8">
                    <c:v>BB</c:v>
                  </c:pt>
                  <c:pt idx="9">
                    <c:v>BSB</c:v>
                  </c:pt>
                </c:lvl>
                <c:lvl>
                  <c:pt idx="0">
                    <c:v>Pengetahuan Metakognisi</c:v>
                  </c:pt>
                  <c:pt idx="5">
                    <c:v>Regulasi Metakognisi</c:v>
                  </c:pt>
                </c:lvl>
              </c:multiLvlStrCache>
            </c:multiLvlStrRef>
          </c:cat>
          <c:val>
            <c:numRef>
              <c:f>Sheet1!$I$8:$I$17</c:f>
              <c:numCache>
                <c:formatCode>General</c:formatCode>
                <c:ptCount val="10"/>
                <c:pt idx="0">
                  <c:v>0</c:v>
                </c:pt>
                <c:pt idx="1">
                  <c:v>0</c:v>
                </c:pt>
                <c:pt idx="2">
                  <c:v>3.2600000000000002</c:v>
                </c:pt>
                <c:pt idx="3">
                  <c:v>73.910000000000025</c:v>
                </c:pt>
                <c:pt idx="4">
                  <c:v>22.830000000000005</c:v>
                </c:pt>
                <c:pt idx="5">
                  <c:v>0</c:v>
                </c:pt>
                <c:pt idx="6">
                  <c:v>0</c:v>
                </c:pt>
                <c:pt idx="7">
                  <c:v>2.17</c:v>
                </c:pt>
                <c:pt idx="8">
                  <c:v>68.48</c:v>
                </c:pt>
                <c:pt idx="9">
                  <c:v>29.35</c:v>
                </c:pt>
              </c:numCache>
            </c:numRef>
          </c:val>
        </c:ser>
        <c:ser>
          <c:idx val="2"/>
          <c:order val="2"/>
          <c:tx>
            <c:strRef>
              <c:f>Sheet1!$J$6:$J$7</c:f>
              <c:strCache>
                <c:ptCount val="1"/>
                <c:pt idx="0">
                  <c:v>Mandiri %</c:v>
                </c:pt>
              </c:strCache>
            </c:strRef>
          </c:tx>
          <c:cat>
            <c:multiLvlStrRef>
              <c:f>Sheet1!$F$8:$G$17</c:f>
              <c:multiLvlStrCache>
                <c:ptCount val="10"/>
                <c:lvl>
                  <c:pt idx="0">
                    <c:v>B</c:v>
                  </c:pt>
                  <c:pt idx="1">
                    <c:v>BBK</c:v>
                  </c:pt>
                  <c:pt idx="2">
                    <c:v>MB</c:v>
                  </c:pt>
                  <c:pt idx="3">
                    <c:v>BB</c:v>
                  </c:pt>
                  <c:pt idx="4">
                    <c:v>BSB</c:v>
                  </c:pt>
                  <c:pt idx="5">
                    <c:v>B</c:v>
                  </c:pt>
                  <c:pt idx="6">
                    <c:v>BBK</c:v>
                  </c:pt>
                  <c:pt idx="7">
                    <c:v>MB</c:v>
                  </c:pt>
                  <c:pt idx="8">
                    <c:v>BB</c:v>
                  </c:pt>
                  <c:pt idx="9">
                    <c:v>BSB</c:v>
                  </c:pt>
                </c:lvl>
                <c:lvl>
                  <c:pt idx="0">
                    <c:v>Pengetahuan Metakognisi</c:v>
                  </c:pt>
                  <c:pt idx="5">
                    <c:v>Regulasi Metakognisi</c:v>
                  </c:pt>
                </c:lvl>
              </c:multiLvlStrCache>
            </c:multiLvlStrRef>
          </c:cat>
          <c:val>
            <c:numRef>
              <c:f>Sheet1!$J$8:$J$17</c:f>
              <c:numCache>
                <c:formatCode>General</c:formatCode>
                <c:ptCount val="10"/>
                <c:pt idx="0">
                  <c:v>0</c:v>
                </c:pt>
                <c:pt idx="1">
                  <c:v>0</c:v>
                </c:pt>
                <c:pt idx="2">
                  <c:v>1.6700000000000021</c:v>
                </c:pt>
                <c:pt idx="3">
                  <c:v>70</c:v>
                </c:pt>
                <c:pt idx="4">
                  <c:v>28.330000000000005</c:v>
                </c:pt>
                <c:pt idx="5">
                  <c:v>0</c:v>
                </c:pt>
                <c:pt idx="6">
                  <c:v>0</c:v>
                </c:pt>
                <c:pt idx="7">
                  <c:v>0</c:v>
                </c:pt>
                <c:pt idx="8">
                  <c:v>36.67</c:v>
                </c:pt>
                <c:pt idx="9">
                  <c:v>63.33</c:v>
                </c:pt>
              </c:numCache>
            </c:numRef>
          </c:val>
        </c:ser>
        <c:axId val="74172288"/>
        <c:axId val="60596224"/>
      </c:barChart>
      <c:catAx>
        <c:axId val="74172288"/>
        <c:scaling>
          <c:orientation val="minMax"/>
        </c:scaling>
        <c:axPos val="b"/>
        <c:tickLblPos val="nextTo"/>
        <c:crossAx val="60596224"/>
        <c:crosses val="autoZero"/>
        <c:auto val="1"/>
        <c:lblAlgn val="ctr"/>
        <c:lblOffset val="100"/>
      </c:catAx>
      <c:valAx>
        <c:axId val="60596224"/>
        <c:scaling>
          <c:orientation val="minMax"/>
        </c:scaling>
        <c:axPos val="l"/>
        <c:majorGridlines/>
        <c:numFmt formatCode="General" sourceLinked="1"/>
        <c:tickLblPos val="nextTo"/>
        <c:crossAx val="74172288"/>
        <c:crosses val="autoZero"/>
        <c:crossBetween val="between"/>
      </c:valAx>
    </c:plotArea>
    <c:legend>
      <c:legendPos val="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Preparation of Papers in Two-Column Format for ICICI</vt:lpstr>
    </vt:vector>
  </TitlesOfParts>
  <Company>Fisika ITB</Company>
  <LinksUpToDate>false</LinksUpToDate>
  <CharactersWithSpaces>21556</CharactersWithSpaces>
  <SharedDoc>false</SharedDoc>
  <HLinks>
    <vt:vector size="6" baseType="variant">
      <vt:variant>
        <vt:i4>4980762</vt:i4>
      </vt:variant>
      <vt:variant>
        <vt:i4>3</vt:i4>
      </vt:variant>
      <vt:variant>
        <vt:i4>0</vt:i4>
      </vt:variant>
      <vt:variant>
        <vt:i4>5</vt:i4>
      </vt:variant>
      <vt:variant>
        <vt:lpwstr>http://dcr.rpi.edu/commdesign/class1.html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 for ICICI</dc:title>
  <dc:creator>Nurul</dc:creator>
  <cp:lastModifiedBy>Computah</cp:lastModifiedBy>
  <cp:revision>27</cp:revision>
  <cp:lastPrinted>1601-01-01T00:00:00Z</cp:lastPrinted>
  <dcterms:created xsi:type="dcterms:W3CDTF">2017-10-18T03:50:00Z</dcterms:created>
  <dcterms:modified xsi:type="dcterms:W3CDTF">2017-10-20T07:06:00Z</dcterms:modified>
</cp:coreProperties>
</file>