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5"/>
      </w:tblGrid>
      <w:tr w:rsidR="0087226A" w:rsidRPr="000F40C6" w:rsidTr="00583D7D">
        <w:tc>
          <w:tcPr>
            <w:tcW w:w="1701" w:type="dxa"/>
          </w:tcPr>
          <w:p w:rsidR="0087226A" w:rsidRPr="000F40C6" w:rsidRDefault="001D265B" w:rsidP="003A4744">
            <w:pPr>
              <w:tabs>
                <w:tab w:val="left" w:pos="1132"/>
              </w:tabs>
              <w:spacing w:line="360" w:lineRule="auto"/>
              <w:rPr>
                <w:sz w:val="24"/>
                <w:szCs w:val="24"/>
              </w:rPr>
            </w:pPr>
            <w:r>
              <w:rPr>
                <w:sz w:val="24"/>
                <w:szCs w:val="24"/>
              </w:rPr>
              <w:t>Proceeding</w:t>
            </w:r>
          </w:p>
        </w:tc>
        <w:tc>
          <w:tcPr>
            <w:tcW w:w="7655" w:type="dxa"/>
          </w:tcPr>
          <w:p w:rsidR="0087226A" w:rsidRPr="000F40C6" w:rsidRDefault="0087226A" w:rsidP="001075D1">
            <w:pPr>
              <w:spacing w:line="360" w:lineRule="auto"/>
              <w:ind w:left="176" w:hanging="176"/>
              <w:rPr>
                <w:sz w:val="24"/>
                <w:szCs w:val="24"/>
              </w:rPr>
            </w:pPr>
            <w:r w:rsidRPr="000F40C6">
              <w:rPr>
                <w:sz w:val="24"/>
                <w:szCs w:val="24"/>
              </w:rPr>
              <w:t>:</w:t>
            </w:r>
            <w:r w:rsidR="00267914" w:rsidRPr="000F40C6">
              <w:rPr>
                <w:sz w:val="24"/>
                <w:szCs w:val="24"/>
              </w:rPr>
              <w:t xml:space="preserve"> </w:t>
            </w:r>
            <w:r w:rsidR="001D265B">
              <w:rPr>
                <w:sz w:val="24"/>
                <w:szCs w:val="24"/>
              </w:rPr>
              <w:t>2</w:t>
            </w:r>
            <w:r w:rsidR="001D265B" w:rsidRPr="001D265B">
              <w:rPr>
                <w:sz w:val="24"/>
                <w:szCs w:val="24"/>
                <w:vertAlign w:val="superscript"/>
              </w:rPr>
              <w:t>nd</w:t>
            </w:r>
            <w:r w:rsidR="001D265B">
              <w:rPr>
                <w:sz w:val="24"/>
                <w:szCs w:val="24"/>
              </w:rPr>
              <w:t xml:space="preserve"> International Conference on Statistics, Mathematics, Teaching, and Research</w:t>
            </w:r>
          </w:p>
        </w:tc>
      </w:tr>
      <w:tr w:rsidR="001D265B" w:rsidRPr="000F40C6" w:rsidTr="00583D7D">
        <w:tc>
          <w:tcPr>
            <w:tcW w:w="1701" w:type="dxa"/>
          </w:tcPr>
          <w:p w:rsidR="001D265B" w:rsidRPr="000F40C6" w:rsidRDefault="001D265B" w:rsidP="003A4744">
            <w:pPr>
              <w:spacing w:line="360" w:lineRule="auto"/>
              <w:rPr>
                <w:sz w:val="24"/>
                <w:szCs w:val="24"/>
              </w:rPr>
            </w:pPr>
            <w:r w:rsidRPr="000F40C6">
              <w:rPr>
                <w:sz w:val="24"/>
                <w:szCs w:val="24"/>
              </w:rPr>
              <w:t>Tittle</w:t>
            </w:r>
          </w:p>
        </w:tc>
        <w:tc>
          <w:tcPr>
            <w:tcW w:w="7655" w:type="dxa"/>
          </w:tcPr>
          <w:p w:rsidR="001D265B" w:rsidRPr="000F40C6" w:rsidRDefault="001D265B" w:rsidP="001D265B">
            <w:pPr>
              <w:spacing w:line="360" w:lineRule="auto"/>
              <w:ind w:left="176" w:hanging="176"/>
              <w:rPr>
                <w:sz w:val="24"/>
                <w:szCs w:val="24"/>
              </w:rPr>
            </w:pPr>
            <w:r w:rsidRPr="009F58D3">
              <w:rPr>
                <w:bCs/>
                <w:szCs w:val="18"/>
              </w:rPr>
              <w:t xml:space="preserve">: </w:t>
            </w:r>
            <w:r>
              <w:rPr>
                <w:bCs/>
                <w:szCs w:val="18"/>
              </w:rPr>
              <w:t>Developing Science Process Skill Based Learning in Science for Children with Special Needs Course</w:t>
            </w:r>
          </w:p>
        </w:tc>
      </w:tr>
      <w:tr w:rsidR="001D265B" w:rsidRPr="000F40C6" w:rsidTr="00583D7D">
        <w:tc>
          <w:tcPr>
            <w:tcW w:w="1701" w:type="dxa"/>
          </w:tcPr>
          <w:p w:rsidR="001D265B" w:rsidRPr="000F40C6" w:rsidRDefault="001D265B" w:rsidP="007E728B">
            <w:pPr>
              <w:spacing w:line="360" w:lineRule="auto"/>
              <w:rPr>
                <w:sz w:val="24"/>
                <w:szCs w:val="24"/>
              </w:rPr>
            </w:pPr>
            <w:r w:rsidRPr="000F40C6">
              <w:rPr>
                <w:sz w:val="24"/>
                <w:szCs w:val="24"/>
              </w:rPr>
              <w:t>Authors</w:t>
            </w:r>
          </w:p>
        </w:tc>
        <w:tc>
          <w:tcPr>
            <w:tcW w:w="7655" w:type="dxa"/>
          </w:tcPr>
          <w:p w:rsidR="001D265B" w:rsidRPr="000F40C6" w:rsidRDefault="001D265B" w:rsidP="007E728B">
            <w:pPr>
              <w:spacing w:line="360" w:lineRule="auto"/>
              <w:ind w:left="176" w:hanging="176"/>
              <w:rPr>
                <w:sz w:val="24"/>
                <w:szCs w:val="24"/>
              </w:rPr>
            </w:pPr>
            <w:r w:rsidRPr="009F58D3">
              <w:rPr>
                <w:sz w:val="24"/>
                <w:szCs w:val="24"/>
              </w:rPr>
              <w:t xml:space="preserve">: </w:t>
            </w:r>
            <w:r w:rsidRPr="009F58D3">
              <w:rPr>
                <w:rFonts w:cs="Times New Roman"/>
                <w:color w:val="231F20"/>
                <w:sz w:val="24"/>
                <w:szCs w:val="24"/>
              </w:rPr>
              <w:t>Abdul Hadis</w:t>
            </w:r>
            <w:r>
              <w:rPr>
                <w:rFonts w:cs="Times New Roman"/>
                <w:color w:val="231F20"/>
                <w:sz w:val="24"/>
                <w:szCs w:val="24"/>
              </w:rPr>
              <w:t>, Nurhayati B</w:t>
            </w:r>
          </w:p>
        </w:tc>
      </w:tr>
      <w:tr w:rsidR="001D265B" w:rsidRPr="000F40C6" w:rsidTr="00583D7D">
        <w:tc>
          <w:tcPr>
            <w:tcW w:w="1701" w:type="dxa"/>
          </w:tcPr>
          <w:p w:rsidR="001D265B" w:rsidRPr="000F40C6" w:rsidRDefault="001D265B" w:rsidP="00737494">
            <w:pPr>
              <w:rPr>
                <w:sz w:val="24"/>
                <w:szCs w:val="24"/>
              </w:rPr>
            </w:pPr>
            <w:r w:rsidRPr="000F40C6">
              <w:rPr>
                <w:sz w:val="24"/>
                <w:szCs w:val="24"/>
              </w:rPr>
              <w:t>Abstract</w:t>
            </w:r>
          </w:p>
        </w:tc>
        <w:tc>
          <w:tcPr>
            <w:tcW w:w="7655" w:type="dxa"/>
          </w:tcPr>
          <w:p w:rsidR="001D265B" w:rsidRPr="009F58D3" w:rsidRDefault="001D265B" w:rsidP="001D265B">
            <w:pPr>
              <w:ind w:left="176" w:hanging="176"/>
              <w:rPr>
                <w:sz w:val="24"/>
                <w:szCs w:val="24"/>
              </w:rPr>
            </w:pPr>
            <w:r w:rsidRPr="000F40C6">
              <w:rPr>
                <w:sz w:val="24"/>
                <w:szCs w:val="24"/>
              </w:rPr>
              <w:t xml:space="preserve">:  </w:t>
            </w:r>
            <w:r>
              <w:rPr>
                <w:bCs/>
                <w:sz w:val="24"/>
                <w:szCs w:val="24"/>
              </w:rPr>
              <w:t xml:space="preserve"> The facts show that most of alumni of college are prospective workers. They are ready to train, not ready to use. Therefore, there were 944.666 educated unemployment (BPS, 2016). This phenomenon occurs because the learning system in universities is still dominant using lecture methods rather than process skills</w:t>
            </w:r>
            <w:r w:rsidRPr="000F40C6">
              <w:rPr>
                <w:sz w:val="24"/>
                <w:szCs w:val="24"/>
              </w:rPr>
              <w:t>.</w:t>
            </w:r>
            <w:r>
              <w:rPr>
                <w:sz w:val="24"/>
                <w:szCs w:val="24"/>
              </w:rPr>
              <w:t xml:space="preserve"> The consequence is that the cognitive level of students generally are at the level of knowledge and understanding, it is weak in terms of application, analysis, synthesis, and evaluation with divergent thinking. To overcome this phenomenon, the implementation of process skills for all subjects in universities, especially in science subjects for children with special needs in the Department of Special Needs Education is needed in integrated, comprehensive, and sustainable process. Therefore, it is necessary to dvelop science process skill based learning in the course of science for children with special needs that can improve the quality of process and learning achievement in the classroom.</w:t>
            </w:r>
            <w:r w:rsidRPr="000F40C6">
              <w:rPr>
                <w:sz w:val="24"/>
                <w:szCs w:val="24"/>
              </w:rPr>
              <w:t xml:space="preserve">   </w:t>
            </w:r>
          </w:p>
        </w:tc>
      </w:tr>
      <w:tr w:rsidR="001D265B" w:rsidRPr="000F40C6" w:rsidTr="00583D7D">
        <w:tc>
          <w:tcPr>
            <w:tcW w:w="1701" w:type="dxa"/>
          </w:tcPr>
          <w:p w:rsidR="001D265B" w:rsidRPr="000F40C6" w:rsidRDefault="001D265B" w:rsidP="007E728B">
            <w:pPr>
              <w:spacing w:line="360" w:lineRule="auto"/>
              <w:rPr>
                <w:sz w:val="24"/>
                <w:szCs w:val="24"/>
              </w:rPr>
            </w:pPr>
            <w:r w:rsidRPr="000F40C6">
              <w:rPr>
                <w:sz w:val="24"/>
                <w:szCs w:val="24"/>
              </w:rPr>
              <w:t>Key words</w:t>
            </w:r>
          </w:p>
        </w:tc>
        <w:tc>
          <w:tcPr>
            <w:tcW w:w="7655" w:type="dxa"/>
          </w:tcPr>
          <w:p w:rsidR="001D265B" w:rsidRPr="009F58D3" w:rsidRDefault="001D265B" w:rsidP="001075D1">
            <w:pPr>
              <w:spacing w:line="360" w:lineRule="auto"/>
              <w:ind w:left="176" w:hanging="176"/>
              <w:rPr>
                <w:sz w:val="24"/>
                <w:szCs w:val="24"/>
              </w:rPr>
            </w:pPr>
            <w:r w:rsidRPr="000F40C6">
              <w:rPr>
                <w:sz w:val="24"/>
                <w:szCs w:val="24"/>
              </w:rPr>
              <w:t xml:space="preserve">: </w:t>
            </w:r>
            <w:r>
              <w:rPr>
                <w:sz w:val="24"/>
                <w:szCs w:val="24"/>
              </w:rPr>
              <w:t>learning instruments, science process skills, science, children with special needs, effectiveness.</w:t>
            </w:r>
          </w:p>
        </w:tc>
      </w:tr>
      <w:tr w:rsidR="001D265B" w:rsidRPr="000F40C6" w:rsidTr="00E5470D">
        <w:tc>
          <w:tcPr>
            <w:tcW w:w="9356" w:type="dxa"/>
            <w:gridSpan w:val="2"/>
          </w:tcPr>
          <w:p w:rsidR="001D265B" w:rsidRDefault="001D265B" w:rsidP="007E728B">
            <w:pPr>
              <w:spacing w:line="360" w:lineRule="auto"/>
              <w:ind w:left="176" w:hanging="176"/>
              <w:rPr>
                <w:sz w:val="24"/>
                <w:szCs w:val="24"/>
              </w:rPr>
            </w:pPr>
            <w:r>
              <w:rPr>
                <w:sz w:val="24"/>
                <w:szCs w:val="24"/>
              </w:rPr>
              <w:t>References:</w:t>
            </w:r>
          </w:p>
          <w:p w:rsidR="001D265B" w:rsidRDefault="001D265B" w:rsidP="001D265B">
            <w:pPr>
              <w:pStyle w:val="ListParagraph"/>
              <w:numPr>
                <w:ilvl w:val="0"/>
                <w:numId w:val="1"/>
              </w:numPr>
              <w:spacing w:line="360" w:lineRule="auto"/>
              <w:rPr>
                <w:sz w:val="24"/>
                <w:szCs w:val="24"/>
              </w:rPr>
            </w:pPr>
            <w:r>
              <w:rPr>
                <w:sz w:val="24"/>
                <w:szCs w:val="24"/>
              </w:rPr>
              <w:t>Cacavo, 2011. The effect of Inquiry based Project on Science Learning. The American Biology Teacher, 72(1): 24-29.</w:t>
            </w:r>
          </w:p>
          <w:p w:rsidR="001D265B" w:rsidRDefault="001D265B" w:rsidP="001D265B">
            <w:pPr>
              <w:pStyle w:val="ListParagraph"/>
              <w:numPr>
                <w:ilvl w:val="0"/>
                <w:numId w:val="1"/>
              </w:numPr>
              <w:spacing w:line="360" w:lineRule="auto"/>
              <w:rPr>
                <w:sz w:val="24"/>
                <w:szCs w:val="24"/>
              </w:rPr>
            </w:pPr>
            <w:r>
              <w:rPr>
                <w:sz w:val="24"/>
                <w:szCs w:val="24"/>
              </w:rPr>
              <w:t>Dick, W., and Carey, L. 2005. The Systematic Design of Learning. American: Harcourt Publishing.</w:t>
            </w:r>
          </w:p>
          <w:p w:rsidR="001D265B" w:rsidRPr="001D265B" w:rsidRDefault="001D265B" w:rsidP="001D265B">
            <w:pPr>
              <w:pStyle w:val="ListParagraph"/>
              <w:numPr>
                <w:ilvl w:val="0"/>
                <w:numId w:val="1"/>
              </w:numPr>
              <w:spacing w:line="360" w:lineRule="auto"/>
              <w:rPr>
                <w:sz w:val="24"/>
                <w:szCs w:val="24"/>
              </w:rPr>
            </w:pPr>
            <w:r>
              <w:rPr>
                <w:sz w:val="24"/>
                <w:szCs w:val="24"/>
              </w:rPr>
              <w:t>Faisal, 2015. Mengintegrasikan Pembelajaran Aktif dan keterampilan Proses Sains Ke Dalam Kurkulum Mata Kuliah Biologi Dasar. Makassar:</w:t>
            </w:r>
            <w:r w:rsidR="0076474F">
              <w:rPr>
                <w:sz w:val="24"/>
                <w:szCs w:val="24"/>
              </w:rPr>
              <w:t xml:space="preserve"> Lemlit UNM.</w:t>
            </w:r>
            <w:bookmarkStart w:id="0" w:name="_GoBack"/>
            <w:bookmarkEnd w:id="0"/>
            <w:r>
              <w:rPr>
                <w:sz w:val="24"/>
                <w:szCs w:val="24"/>
              </w:rPr>
              <w:t xml:space="preserve"> </w:t>
            </w:r>
          </w:p>
          <w:p w:rsidR="001D265B" w:rsidRPr="000F40C6" w:rsidRDefault="001D265B" w:rsidP="007E728B">
            <w:pPr>
              <w:spacing w:line="360" w:lineRule="auto"/>
              <w:ind w:left="176" w:hanging="176"/>
              <w:rPr>
                <w:sz w:val="24"/>
                <w:szCs w:val="24"/>
              </w:rPr>
            </w:pPr>
          </w:p>
        </w:tc>
      </w:tr>
      <w:tr w:rsidR="001D265B" w:rsidRPr="000F40C6" w:rsidTr="00583D7D">
        <w:tc>
          <w:tcPr>
            <w:tcW w:w="1701" w:type="dxa"/>
          </w:tcPr>
          <w:p w:rsidR="001D265B" w:rsidRPr="000F40C6" w:rsidRDefault="001D265B" w:rsidP="003A4744">
            <w:pPr>
              <w:spacing w:line="360" w:lineRule="auto"/>
              <w:rPr>
                <w:sz w:val="24"/>
                <w:szCs w:val="24"/>
              </w:rPr>
            </w:pPr>
          </w:p>
        </w:tc>
        <w:tc>
          <w:tcPr>
            <w:tcW w:w="7655" w:type="dxa"/>
          </w:tcPr>
          <w:p w:rsidR="001D265B" w:rsidRPr="000F40C6" w:rsidRDefault="001D265B" w:rsidP="005542F7">
            <w:pPr>
              <w:spacing w:line="360" w:lineRule="auto"/>
              <w:ind w:left="176" w:hanging="176"/>
              <w:rPr>
                <w:sz w:val="24"/>
                <w:szCs w:val="24"/>
              </w:rPr>
            </w:pPr>
          </w:p>
        </w:tc>
      </w:tr>
      <w:tr w:rsidR="001D265B" w:rsidRPr="000F40C6" w:rsidTr="00583D7D">
        <w:tc>
          <w:tcPr>
            <w:tcW w:w="1701" w:type="dxa"/>
          </w:tcPr>
          <w:p w:rsidR="001D265B" w:rsidRPr="000F40C6" w:rsidRDefault="001D265B" w:rsidP="003A4744">
            <w:pPr>
              <w:spacing w:line="360" w:lineRule="auto"/>
              <w:rPr>
                <w:sz w:val="24"/>
                <w:szCs w:val="24"/>
              </w:rPr>
            </w:pPr>
          </w:p>
        </w:tc>
        <w:tc>
          <w:tcPr>
            <w:tcW w:w="7655" w:type="dxa"/>
          </w:tcPr>
          <w:p w:rsidR="001D265B" w:rsidRPr="000F40C6" w:rsidRDefault="001D265B" w:rsidP="005542F7">
            <w:pPr>
              <w:spacing w:line="360" w:lineRule="auto"/>
              <w:ind w:left="176" w:hanging="176"/>
              <w:rPr>
                <w:sz w:val="24"/>
                <w:szCs w:val="24"/>
              </w:rPr>
            </w:pPr>
          </w:p>
        </w:tc>
      </w:tr>
      <w:tr w:rsidR="001D265B" w:rsidRPr="000F40C6" w:rsidTr="00451CF9">
        <w:trPr>
          <w:trHeight w:val="173"/>
        </w:trPr>
        <w:tc>
          <w:tcPr>
            <w:tcW w:w="9356" w:type="dxa"/>
            <w:gridSpan w:val="2"/>
          </w:tcPr>
          <w:p w:rsidR="001D265B" w:rsidRPr="000F40C6" w:rsidRDefault="001D265B" w:rsidP="003A4744">
            <w:pPr>
              <w:spacing w:line="360" w:lineRule="auto"/>
              <w:rPr>
                <w:sz w:val="24"/>
                <w:szCs w:val="24"/>
              </w:rPr>
            </w:pPr>
          </w:p>
        </w:tc>
      </w:tr>
      <w:tr w:rsidR="001D265B" w:rsidRPr="000F40C6" w:rsidTr="00451CF9">
        <w:trPr>
          <w:trHeight w:val="106"/>
        </w:trPr>
        <w:tc>
          <w:tcPr>
            <w:tcW w:w="9356" w:type="dxa"/>
            <w:gridSpan w:val="2"/>
          </w:tcPr>
          <w:p w:rsidR="001D265B" w:rsidRPr="000F40C6" w:rsidRDefault="001D265B" w:rsidP="003A4744">
            <w:pPr>
              <w:spacing w:line="360" w:lineRule="auto"/>
              <w:rPr>
                <w:sz w:val="24"/>
                <w:szCs w:val="24"/>
              </w:rPr>
            </w:pPr>
          </w:p>
        </w:tc>
      </w:tr>
    </w:tbl>
    <w:p w:rsidR="00BE2A9C" w:rsidRPr="000F40C6" w:rsidRDefault="00BE2A9C" w:rsidP="003A4744">
      <w:pPr>
        <w:spacing w:line="360" w:lineRule="auto"/>
        <w:rPr>
          <w:sz w:val="24"/>
          <w:szCs w:val="24"/>
        </w:rPr>
      </w:pPr>
    </w:p>
    <w:sectPr w:rsidR="00BE2A9C" w:rsidRPr="000F40C6" w:rsidSect="00BE2A9C">
      <w:pgSz w:w="11907" w:h="16840" w:code="9"/>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26E95"/>
    <w:multiLevelType w:val="hybridMultilevel"/>
    <w:tmpl w:val="8B1E8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415"/>
    <w:rsid w:val="0003693D"/>
    <w:rsid w:val="000F40C6"/>
    <w:rsid w:val="001075D1"/>
    <w:rsid w:val="001D265B"/>
    <w:rsid w:val="002020B1"/>
    <w:rsid w:val="002673E3"/>
    <w:rsid w:val="00267914"/>
    <w:rsid w:val="003867EF"/>
    <w:rsid w:val="003A4744"/>
    <w:rsid w:val="003F598E"/>
    <w:rsid w:val="00451CF9"/>
    <w:rsid w:val="004706B6"/>
    <w:rsid w:val="00475861"/>
    <w:rsid w:val="005215F8"/>
    <w:rsid w:val="0053006D"/>
    <w:rsid w:val="005542F7"/>
    <w:rsid w:val="00580A63"/>
    <w:rsid w:val="00583D7D"/>
    <w:rsid w:val="005D6AE2"/>
    <w:rsid w:val="0060332C"/>
    <w:rsid w:val="00621BFE"/>
    <w:rsid w:val="00673B06"/>
    <w:rsid w:val="00737494"/>
    <w:rsid w:val="007604EC"/>
    <w:rsid w:val="0076474F"/>
    <w:rsid w:val="00863699"/>
    <w:rsid w:val="0087226A"/>
    <w:rsid w:val="00881E2A"/>
    <w:rsid w:val="0093784A"/>
    <w:rsid w:val="0095417F"/>
    <w:rsid w:val="00994ED1"/>
    <w:rsid w:val="009D3EA6"/>
    <w:rsid w:val="009F58D3"/>
    <w:rsid w:val="00B95D8E"/>
    <w:rsid w:val="00BA2004"/>
    <w:rsid w:val="00BA2AE0"/>
    <w:rsid w:val="00BE2A9C"/>
    <w:rsid w:val="00C134AF"/>
    <w:rsid w:val="00C155AC"/>
    <w:rsid w:val="00C32390"/>
    <w:rsid w:val="00D16415"/>
    <w:rsid w:val="00ED4138"/>
    <w:rsid w:val="00EF5D86"/>
    <w:rsid w:val="00FB1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2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26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2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2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NURHAYATI</dc:creator>
  <cp:lastModifiedBy>NURHAYATI</cp:lastModifiedBy>
  <cp:revision>13</cp:revision>
  <dcterms:created xsi:type="dcterms:W3CDTF">2017-11-04T06:53:00Z</dcterms:created>
  <dcterms:modified xsi:type="dcterms:W3CDTF">2017-11-05T13:30:00Z</dcterms:modified>
</cp:coreProperties>
</file>