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06" w:rsidRDefault="00320E06" w:rsidP="00320E06">
      <w:pPr>
        <w:spacing w:line="289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0" w:lineRule="atLeast"/>
        <w:ind w:right="-5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BAB VI</w:t>
      </w:r>
    </w:p>
    <w:p w:rsidR="00320E06" w:rsidRDefault="00320E06" w:rsidP="00320E06">
      <w:pPr>
        <w:spacing w:line="154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0" w:lineRule="atLeast"/>
        <w:ind w:left="43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PENUTUP</w:t>
      </w:r>
    </w:p>
    <w:p w:rsidR="00320E06" w:rsidRDefault="00320E06" w:rsidP="00320E06">
      <w:pPr>
        <w:spacing w:line="200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200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267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numPr>
          <w:ilvl w:val="0"/>
          <w:numId w:val="1"/>
        </w:numPr>
        <w:tabs>
          <w:tab w:val="left" w:pos="1540"/>
        </w:tabs>
        <w:spacing w:line="0" w:lineRule="atLeast"/>
        <w:ind w:left="1540" w:hanging="330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Kesimpulan</w:t>
      </w:r>
      <w:proofErr w:type="spellEnd"/>
    </w:p>
    <w:p w:rsidR="00320E06" w:rsidRDefault="00320E06" w:rsidP="00320E06">
      <w:pPr>
        <w:spacing w:line="247" w:lineRule="exact"/>
        <w:rPr>
          <w:rFonts w:ascii="Times New Roman" w:eastAsia="Times New Roman" w:hAnsi="Times New Roman"/>
          <w:b/>
          <w:sz w:val="23"/>
        </w:rPr>
      </w:pPr>
    </w:p>
    <w:p w:rsidR="00320E06" w:rsidRDefault="00320E06" w:rsidP="00320E06">
      <w:pPr>
        <w:spacing w:line="0" w:lineRule="atLeast"/>
        <w:ind w:left="154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Berdasarkan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hasil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penelitian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dilakukan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Mattrowalie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Kecamatan</w:t>
      </w:r>
      <w:proofErr w:type="spellEnd"/>
    </w:p>
    <w:p w:rsidR="00320E06" w:rsidRDefault="00320E06" w:rsidP="00320E06">
      <w:pPr>
        <w:spacing w:line="254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0" w:lineRule="atLeast"/>
        <w:ind w:left="122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Tanete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Riaja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Kabupaten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Barru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ditarik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kesimpulan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berikut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320E06" w:rsidRDefault="00320E06" w:rsidP="00320E06">
      <w:pPr>
        <w:spacing w:line="269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numPr>
          <w:ilvl w:val="1"/>
          <w:numId w:val="2"/>
        </w:numPr>
        <w:tabs>
          <w:tab w:val="left" w:pos="1640"/>
        </w:tabs>
        <w:spacing w:line="464" w:lineRule="auto"/>
        <w:ind w:left="1640" w:right="70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Variabel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Pengelolaan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Bantuan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Langsung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Tunai</w:t>
      </w:r>
      <w:proofErr w:type="spellEnd"/>
      <w:r>
        <w:rPr>
          <w:rFonts w:ascii="Times New Roman" w:eastAsia="Times New Roman" w:hAnsi="Times New Roman"/>
          <w:sz w:val="23"/>
        </w:rPr>
        <w:t xml:space="preserve"> (BLT) Di </w:t>
      </w:r>
      <w:proofErr w:type="spellStart"/>
      <w:r>
        <w:rPr>
          <w:rFonts w:ascii="Times New Roman" w:eastAsia="Times New Roman" w:hAnsi="Times New Roman"/>
          <w:sz w:val="23"/>
        </w:rPr>
        <w:t>Desa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Mattirowalie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Kecamatan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Tanete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Riaja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Kabupaten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Barru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menunjukkan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kategori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sedang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320E06" w:rsidRDefault="00320E06" w:rsidP="00320E06">
      <w:pPr>
        <w:spacing w:line="22" w:lineRule="exact"/>
        <w:rPr>
          <w:rFonts w:ascii="Times New Roman" w:eastAsia="Times New Roman" w:hAnsi="Times New Roman"/>
          <w:sz w:val="23"/>
        </w:rPr>
      </w:pPr>
    </w:p>
    <w:p w:rsidR="00320E06" w:rsidRDefault="00320E06" w:rsidP="00320E06">
      <w:pPr>
        <w:numPr>
          <w:ilvl w:val="1"/>
          <w:numId w:val="2"/>
        </w:numPr>
        <w:tabs>
          <w:tab w:val="left" w:pos="1640"/>
        </w:tabs>
        <w:spacing w:line="464" w:lineRule="auto"/>
        <w:ind w:left="1640" w:right="68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Variabel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Efektivitas</w:t>
      </w:r>
      <w:proofErr w:type="spellEnd"/>
      <w:r>
        <w:rPr>
          <w:rFonts w:ascii="Times New Roman" w:eastAsia="Times New Roman" w:hAnsi="Times New Roman"/>
          <w:sz w:val="23"/>
        </w:rPr>
        <w:t xml:space="preserve"> Dana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Kurang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Mampu</w:t>
      </w:r>
      <w:proofErr w:type="spellEnd"/>
      <w:r>
        <w:rPr>
          <w:rFonts w:ascii="Times New Roman" w:eastAsia="Times New Roman" w:hAnsi="Times New Roman"/>
          <w:sz w:val="23"/>
        </w:rPr>
        <w:t xml:space="preserve"> Di </w:t>
      </w:r>
      <w:proofErr w:type="spellStart"/>
      <w:r>
        <w:rPr>
          <w:rFonts w:ascii="Times New Roman" w:eastAsia="Times New Roman" w:hAnsi="Times New Roman"/>
          <w:sz w:val="23"/>
        </w:rPr>
        <w:t>Desa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Mattirowalie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Kecamatan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Tanete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Riaja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Kabupaten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Barru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menunjukkan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kategori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sedang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320E06" w:rsidRDefault="00320E06" w:rsidP="00320E06">
      <w:pPr>
        <w:spacing w:line="22" w:lineRule="exact"/>
        <w:rPr>
          <w:rFonts w:ascii="Times New Roman" w:eastAsia="Times New Roman" w:hAnsi="Times New Roman"/>
          <w:sz w:val="23"/>
        </w:rPr>
      </w:pPr>
    </w:p>
    <w:p w:rsidR="00320E06" w:rsidRDefault="00320E06" w:rsidP="00320E06">
      <w:pPr>
        <w:numPr>
          <w:ilvl w:val="1"/>
          <w:numId w:val="2"/>
        </w:numPr>
        <w:tabs>
          <w:tab w:val="left" w:pos="1640"/>
        </w:tabs>
        <w:spacing w:line="464" w:lineRule="auto"/>
        <w:ind w:left="1640" w:right="70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Terdapat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Pengaruh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Pengelolaan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Bantuan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Langsung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Tunai</w:t>
      </w:r>
      <w:proofErr w:type="spellEnd"/>
      <w:r>
        <w:rPr>
          <w:rFonts w:ascii="Times New Roman" w:eastAsia="Times New Roman" w:hAnsi="Times New Roman"/>
          <w:sz w:val="23"/>
        </w:rPr>
        <w:t xml:space="preserve"> (BLT) </w:t>
      </w:r>
      <w:proofErr w:type="spellStart"/>
      <w:r>
        <w:rPr>
          <w:rFonts w:ascii="Times New Roman" w:eastAsia="Times New Roman" w:hAnsi="Times New Roman"/>
          <w:sz w:val="23"/>
        </w:rPr>
        <w:t>terhadap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Efektivitas</w:t>
      </w:r>
      <w:proofErr w:type="spellEnd"/>
      <w:r>
        <w:rPr>
          <w:rFonts w:ascii="Times New Roman" w:eastAsia="Times New Roman" w:hAnsi="Times New Roman"/>
          <w:sz w:val="23"/>
        </w:rPr>
        <w:t xml:space="preserve"> Dana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Kurang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Mampu</w:t>
      </w:r>
      <w:proofErr w:type="spellEnd"/>
      <w:r>
        <w:rPr>
          <w:rFonts w:ascii="Times New Roman" w:eastAsia="Times New Roman" w:hAnsi="Times New Roman"/>
          <w:sz w:val="23"/>
        </w:rPr>
        <w:t xml:space="preserve"> Di </w:t>
      </w:r>
      <w:proofErr w:type="spellStart"/>
      <w:r>
        <w:rPr>
          <w:rFonts w:ascii="Times New Roman" w:eastAsia="Times New Roman" w:hAnsi="Times New Roman"/>
          <w:sz w:val="23"/>
        </w:rPr>
        <w:t>Desa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Mattirowalie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Kecamatan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Tanete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Riaja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Kabupaten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Barru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320E06" w:rsidRDefault="00320E06" w:rsidP="00320E06">
      <w:pPr>
        <w:spacing w:line="15" w:lineRule="exact"/>
        <w:rPr>
          <w:rFonts w:ascii="Times New Roman" w:eastAsia="Times New Roman" w:hAnsi="Times New Roman"/>
          <w:sz w:val="23"/>
        </w:rPr>
      </w:pPr>
    </w:p>
    <w:p w:rsidR="00320E06" w:rsidRDefault="00320E06" w:rsidP="00320E06">
      <w:pPr>
        <w:numPr>
          <w:ilvl w:val="0"/>
          <w:numId w:val="3"/>
        </w:numPr>
        <w:tabs>
          <w:tab w:val="left" w:pos="1540"/>
        </w:tabs>
        <w:spacing w:line="0" w:lineRule="atLeast"/>
        <w:ind w:left="1540" w:hanging="33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Saran</w:t>
      </w:r>
    </w:p>
    <w:p w:rsidR="00320E06" w:rsidRDefault="00320E06" w:rsidP="00320E06">
      <w:pPr>
        <w:spacing w:line="247" w:lineRule="exact"/>
        <w:rPr>
          <w:rFonts w:ascii="Times New Roman" w:eastAsia="Times New Roman" w:hAnsi="Times New Roman"/>
          <w:b/>
          <w:sz w:val="23"/>
        </w:rPr>
      </w:pPr>
    </w:p>
    <w:p w:rsidR="00320E06" w:rsidRDefault="00320E06" w:rsidP="00320E06">
      <w:pPr>
        <w:spacing w:line="0" w:lineRule="atLeast"/>
        <w:ind w:left="1540"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Apapun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bagaimanapun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usaha</w:t>
      </w:r>
      <w:proofErr w:type="spellEnd"/>
      <w:r>
        <w:rPr>
          <w:rFonts w:ascii="Times New Roman" w:eastAsia="Times New Roman" w:hAnsi="Times New Roman"/>
          <w:sz w:val="23"/>
        </w:rPr>
        <w:t xml:space="preserve">  yang  </w:t>
      </w:r>
      <w:proofErr w:type="spellStart"/>
      <w:r>
        <w:rPr>
          <w:rFonts w:ascii="Times New Roman" w:eastAsia="Times New Roman" w:hAnsi="Times New Roman"/>
          <w:sz w:val="23"/>
        </w:rPr>
        <w:t>dilakukan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tentu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masih</w:t>
      </w:r>
      <w:proofErr w:type="spellEnd"/>
      <w:r>
        <w:rPr>
          <w:rFonts w:ascii="Times New Roman" w:eastAsia="Times New Roman" w:hAnsi="Times New Roman"/>
          <w:sz w:val="23"/>
        </w:rPr>
        <w:t xml:space="preserve">  </w:t>
      </w:r>
      <w:proofErr w:type="spellStart"/>
      <w:r>
        <w:rPr>
          <w:rFonts w:ascii="Times New Roman" w:eastAsia="Times New Roman" w:hAnsi="Times New Roman"/>
          <w:sz w:val="23"/>
        </w:rPr>
        <w:t>terdapat</w:t>
      </w:r>
      <w:proofErr w:type="spellEnd"/>
    </w:p>
    <w:p w:rsidR="00320E06" w:rsidRDefault="00320E06" w:rsidP="00320E06">
      <w:pPr>
        <w:spacing w:line="269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468" w:lineRule="auto"/>
        <w:ind w:left="1220" w:right="700"/>
        <w:jc w:val="both"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kekurangan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baik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disebabkan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keterbatasan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ilmu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dimiliki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oleh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penulis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maupun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keterbatasan</w:t>
      </w:r>
      <w:proofErr w:type="spellEnd"/>
      <w:r>
        <w:rPr>
          <w:rFonts w:ascii="Times New Roman" w:eastAsia="Times New Roman" w:hAnsi="Times New Roman"/>
          <w:sz w:val="23"/>
        </w:rPr>
        <w:t xml:space="preserve"> data yang </w:t>
      </w:r>
      <w:proofErr w:type="spellStart"/>
      <w:r>
        <w:rPr>
          <w:rFonts w:ascii="Times New Roman" w:eastAsia="Times New Roman" w:hAnsi="Times New Roman"/>
          <w:sz w:val="23"/>
        </w:rPr>
        <w:t>penulis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miliki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pengalaman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bidang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penelitian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sangat</w:t>
      </w:r>
      <w:proofErr w:type="spellEnd"/>
      <w:r>
        <w:rPr>
          <w:rFonts w:ascii="Times New Roman" w:eastAsia="Times New Roman" w:hAnsi="Times New Roman"/>
          <w:sz w:val="23"/>
        </w:rPr>
        <w:t xml:space="preserve"> minim.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Namun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ada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beberapa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hal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ambil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penelitian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baik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menjadi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pada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pemerintah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juga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ada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Mattirowalie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kecamatan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Tanete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Riaja</w:t>
      </w:r>
      <w:proofErr w:type="spellEnd"/>
      <w:r>
        <w:rPr>
          <w:rFonts w:ascii="Times New Roman" w:eastAsia="Times New Roman" w:hAnsi="Times New Roman"/>
          <w:sz w:val="23"/>
        </w:rPr>
        <w:t>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Oleh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karena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itu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penulis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berusaha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memberikan</w:t>
      </w:r>
      <w:proofErr w:type="spellEnd"/>
      <w:r>
        <w:rPr>
          <w:rFonts w:ascii="Times New Roman" w:eastAsia="Times New Roman" w:hAnsi="Times New Roman"/>
          <w:sz w:val="23"/>
        </w:rPr>
        <w:t xml:space="preserve"> saran-saran </w:t>
      </w:r>
      <w:proofErr w:type="spellStart"/>
      <w:r>
        <w:rPr>
          <w:rFonts w:ascii="Times New Roman" w:eastAsia="Times New Roman" w:hAnsi="Times New Roman"/>
          <w:sz w:val="23"/>
        </w:rPr>
        <w:t>semoga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bermanfaat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pihak</w:t>
      </w:r>
      <w:proofErr w:type="spellEnd"/>
      <w:r>
        <w:rPr>
          <w:rFonts w:ascii="Times New Roman" w:eastAsia="Times New Roman" w:hAnsi="Times New Roman"/>
          <w:sz w:val="23"/>
        </w:rPr>
        <w:t>.</w:t>
      </w:r>
      <w:proofErr w:type="gramEnd"/>
    </w:p>
    <w:p w:rsidR="00320E06" w:rsidRDefault="00320E06" w:rsidP="00320E06">
      <w:pPr>
        <w:spacing w:line="468" w:lineRule="auto"/>
        <w:ind w:left="1220" w:right="700"/>
        <w:jc w:val="both"/>
        <w:rPr>
          <w:rFonts w:ascii="Times New Roman" w:eastAsia="Times New Roman" w:hAnsi="Times New Roman"/>
          <w:sz w:val="23"/>
        </w:rPr>
        <w:sectPr w:rsidR="00320E06">
          <w:pgSz w:w="12240" w:h="15840"/>
          <w:pgMar w:top="1440" w:right="1440" w:bottom="592" w:left="1440" w:header="0" w:footer="0" w:gutter="0"/>
          <w:cols w:space="0" w:equalWidth="0">
            <w:col w:w="9360"/>
          </w:cols>
          <w:docGrid w:linePitch="360"/>
        </w:sectPr>
      </w:pPr>
    </w:p>
    <w:p w:rsidR="00320E06" w:rsidRDefault="00320E06" w:rsidP="00320E06">
      <w:pPr>
        <w:spacing w:line="200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327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0" w:lineRule="atLeast"/>
        <w:ind w:left="42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67</w:t>
      </w:r>
    </w:p>
    <w:p w:rsidR="00320E06" w:rsidRDefault="00320E06" w:rsidP="00320E06">
      <w:pPr>
        <w:spacing w:line="0" w:lineRule="atLeast"/>
        <w:ind w:left="4240"/>
        <w:rPr>
          <w:rFonts w:ascii="Times New Roman" w:eastAsia="Times New Roman" w:hAnsi="Times New Roman"/>
          <w:sz w:val="21"/>
        </w:rPr>
        <w:sectPr w:rsidR="00320E06">
          <w:type w:val="continuous"/>
          <w:pgSz w:w="12240" w:h="15840"/>
          <w:pgMar w:top="1440" w:right="1440" w:bottom="592" w:left="1440" w:header="0" w:footer="0" w:gutter="0"/>
          <w:cols w:space="0" w:equalWidth="0">
            <w:col w:w="9360"/>
          </w:cols>
          <w:docGrid w:linePitch="360"/>
        </w:sectPr>
      </w:pPr>
    </w:p>
    <w:p w:rsidR="00320E06" w:rsidRDefault="00320E06" w:rsidP="00320E06">
      <w:pPr>
        <w:spacing w:line="200" w:lineRule="exact"/>
        <w:rPr>
          <w:rFonts w:ascii="Times New Roman" w:eastAsia="Times New Roman" w:hAnsi="Times New Roman"/>
        </w:rPr>
      </w:pPr>
      <w:bookmarkStart w:id="0" w:name="page84"/>
      <w:bookmarkEnd w:id="0"/>
    </w:p>
    <w:p w:rsidR="00320E06" w:rsidRDefault="00320E06" w:rsidP="00320E06">
      <w:pPr>
        <w:spacing w:line="200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276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tabs>
          <w:tab w:val="left" w:pos="1520"/>
        </w:tabs>
        <w:spacing w:line="0" w:lineRule="atLeast"/>
        <w:ind w:left="1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Saran </w:t>
      </w:r>
      <w:proofErr w:type="spellStart"/>
      <w:r>
        <w:rPr>
          <w:rFonts w:ascii="Times New Roman" w:eastAsia="Times New Roman" w:hAnsi="Times New Roman"/>
          <w:sz w:val="22"/>
        </w:rPr>
        <w:t>untuk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pemerintah</w:t>
      </w:r>
      <w:proofErr w:type="spellEnd"/>
    </w:p>
    <w:p w:rsidR="00320E06" w:rsidRDefault="00320E06" w:rsidP="00320E06">
      <w:pPr>
        <w:spacing w:line="269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491" w:lineRule="auto"/>
        <w:ind w:left="1220" w:right="680" w:firstLine="338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Pembuatan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kebijakan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pelaksanaan</w:t>
      </w:r>
      <w:proofErr w:type="spellEnd"/>
      <w:r>
        <w:rPr>
          <w:rFonts w:ascii="Times New Roman" w:eastAsia="Times New Roman" w:hAnsi="Times New Roman"/>
          <w:sz w:val="22"/>
        </w:rPr>
        <w:t xml:space="preserve"> program </w:t>
      </w:r>
      <w:proofErr w:type="spellStart"/>
      <w:r>
        <w:rPr>
          <w:rFonts w:ascii="Times New Roman" w:eastAsia="Times New Roman" w:hAnsi="Times New Roman"/>
          <w:sz w:val="22"/>
        </w:rPr>
        <w:t>penanggulangan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kemiskinan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seharusnya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didasarkan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kajian</w:t>
      </w:r>
      <w:proofErr w:type="spellEnd"/>
      <w:r>
        <w:rPr>
          <w:rFonts w:ascii="Times New Roman" w:eastAsia="Times New Roman" w:hAnsi="Times New Roman"/>
          <w:sz w:val="22"/>
        </w:rPr>
        <w:t xml:space="preserve"> yang </w:t>
      </w:r>
      <w:proofErr w:type="spellStart"/>
      <w:r>
        <w:rPr>
          <w:rFonts w:ascii="Times New Roman" w:eastAsia="Times New Roman" w:hAnsi="Times New Roman"/>
          <w:sz w:val="22"/>
        </w:rPr>
        <w:t>matang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tidak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terburu-buru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adanya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perencanaan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desain</w:t>
      </w:r>
      <w:proofErr w:type="spellEnd"/>
      <w:r>
        <w:rPr>
          <w:rFonts w:ascii="Times New Roman" w:eastAsia="Times New Roman" w:hAnsi="Times New Roman"/>
          <w:sz w:val="22"/>
        </w:rPr>
        <w:t xml:space="preserve"> yang </w:t>
      </w:r>
      <w:proofErr w:type="spellStart"/>
      <w:r>
        <w:rPr>
          <w:rFonts w:ascii="Times New Roman" w:eastAsia="Times New Roman" w:hAnsi="Times New Roman"/>
          <w:sz w:val="22"/>
        </w:rPr>
        <w:t>baik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berorientasi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kepentingan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masyarakat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miskin</w:t>
      </w:r>
      <w:proofErr w:type="spellEnd"/>
      <w:r>
        <w:rPr>
          <w:rFonts w:ascii="Times New Roman" w:eastAsia="Times New Roman" w:hAnsi="Times New Roman"/>
          <w:sz w:val="22"/>
        </w:rPr>
        <w:t>.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perlu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dukungan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komitmen</w:t>
      </w:r>
      <w:proofErr w:type="spellEnd"/>
      <w:r>
        <w:rPr>
          <w:rFonts w:ascii="Times New Roman" w:eastAsia="Times New Roman" w:hAnsi="Times New Roman"/>
          <w:sz w:val="22"/>
        </w:rPr>
        <w:t xml:space="preserve"> yang </w:t>
      </w:r>
      <w:proofErr w:type="spellStart"/>
      <w:r>
        <w:rPr>
          <w:rFonts w:ascii="Times New Roman" w:eastAsia="Times New Roman" w:hAnsi="Times New Roman"/>
          <w:sz w:val="22"/>
        </w:rPr>
        <w:t>kuat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Pemerintah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Kabupaten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Barru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melalui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pembentukan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Peraturan</w:t>
      </w:r>
      <w:proofErr w:type="spellEnd"/>
      <w:r>
        <w:rPr>
          <w:rFonts w:ascii="Times New Roman" w:eastAsia="Times New Roman" w:hAnsi="Times New Roman"/>
          <w:sz w:val="22"/>
        </w:rPr>
        <w:t xml:space="preserve"> Daerah </w:t>
      </w:r>
      <w:proofErr w:type="spellStart"/>
      <w:r>
        <w:rPr>
          <w:rFonts w:ascii="Times New Roman" w:eastAsia="Times New Roman" w:hAnsi="Times New Roman"/>
          <w:sz w:val="22"/>
        </w:rPr>
        <w:t>tentang</w:t>
      </w:r>
      <w:proofErr w:type="spellEnd"/>
      <w:r>
        <w:rPr>
          <w:rFonts w:ascii="Times New Roman" w:eastAsia="Times New Roman" w:hAnsi="Times New Roman"/>
          <w:sz w:val="22"/>
        </w:rPr>
        <w:t xml:space="preserve"> BLT </w:t>
      </w:r>
      <w:proofErr w:type="spellStart"/>
      <w:r>
        <w:rPr>
          <w:rFonts w:ascii="Times New Roman" w:eastAsia="Times New Roman" w:hAnsi="Times New Roman"/>
          <w:sz w:val="22"/>
        </w:rPr>
        <w:t>sebagai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payung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hukum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pelaksananan</w:t>
      </w:r>
      <w:proofErr w:type="spellEnd"/>
      <w:r>
        <w:rPr>
          <w:rFonts w:ascii="Times New Roman" w:eastAsia="Times New Roman" w:hAnsi="Times New Roman"/>
          <w:sz w:val="22"/>
        </w:rPr>
        <w:t xml:space="preserve"> program BLT </w:t>
      </w:r>
      <w:proofErr w:type="spellStart"/>
      <w:r>
        <w:rPr>
          <w:rFonts w:ascii="Times New Roman" w:eastAsia="Times New Roman" w:hAnsi="Times New Roman"/>
          <w:sz w:val="22"/>
        </w:rPr>
        <w:t>di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daerah</w:t>
      </w:r>
      <w:proofErr w:type="spellEnd"/>
      <w:r>
        <w:rPr>
          <w:rFonts w:ascii="Times New Roman" w:eastAsia="Times New Roman" w:hAnsi="Times New Roman"/>
          <w:sz w:val="22"/>
        </w:rPr>
        <w:t xml:space="preserve"> agar </w:t>
      </w:r>
      <w:proofErr w:type="spellStart"/>
      <w:r>
        <w:rPr>
          <w:rFonts w:ascii="Times New Roman" w:eastAsia="Times New Roman" w:hAnsi="Times New Roman"/>
          <w:sz w:val="22"/>
        </w:rPr>
        <w:t>lebih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mengoptimalkan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Pemerintah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Kabupaten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Barru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meningkatkan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kelancaran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pelaksanaan</w:t>
      </w:r>
      <w:proofErr w:type="spellEnd"/>
      <w:r>
        <w:rPr>
          <w:rFonts w:ascii="Times New Roman" w:eastAsia="Times New Roman" w:hAnsi="Times New Roman"/>
          <w:sz w:val="22"/>
        </w:rPr>
        <w:t xml:space="preserve"> program BLT </w:t>
      </w:r>
      <w:proofErr w:type="spellStart"/>
      <w:r>
        <w:rPr>
          <w:rFonts w:ascii="Times New Roman" w:eastAsia="Times New Roman" w:hAnsi="Times New Roman"/>
          <w:sz w:val="22"/>
        </w:rPr>
        <w:t>di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Kabupaten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Barru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terutama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pengelolaan</w:t>
      </w:r>
      <w:proofErr w:type="spellEnd"/>
      <w:r>
        <w:rPr>
          <w:rFonts w:ascii="Times New Roman" w:eastAsia="Times New Roman" w:hAnsi="Times New Roman"/>
          <w:sz w:val="22"/>
        </w:rPr>
        <w:t xml:space="preserve"> BLT.</w:t>
      </w:r>
    </w:p>
    <w:p w:rsidR="00320E06" w:rsidRDefault="00320E06" w:rsidP="00320E06">
      <w:pPr>
        <w:tabs>
          <w:tab w:val="left" w:pos="1520"/>
        </w:tabs>
        <w:spacing w:line="0" w:lineRule="atLeast"/>
        <w:ind w:left="1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Saran </w:t>
      </w:r>
      <w:proofErr w:type="spellStart"/>
      <w:r>
        <w:rPr>
          <w:rFonts w:ascii="Times New Roman" w:eastAsia="Times New Roman" w:hAnsi="Times New Roman"/>
          <w:sz w:val="22"/>
        </w:rPr>
        <w:t>untuk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masyarakat</w:t>
      </w:r>
      <w:proofErr w:type="spellEnd"/>
    </w:p>
    <w:p w:rsidR="00320E06" w:rsidRDefault="00320E06" w:rsidP="00320E06">
      <w:pPr>
        <w:spacing w:line="269" w:lineRule="exact"/>
        <w:rPr>
          <w:rFonts w:ascii="Times New Roman" w:eastAsia="Times New Roman" w:hAnsi="Times New Roman"/>
        </w:rPr>
      </w:pPr>
    </w:p>
    <w:p w:rsidR="00320E06" w:rsidRDefault="00320E06" w:rsidP="00320E06">
      <w:pPr>
        <w:spacing w:line="469" w:lineRule="auto"/>
        <w:ind w:left="1300" w:right="680" w:firstLine="338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umum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diwajibkan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ikut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mengsukseskan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progam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mereka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ciri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otonomi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mengawasi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jalannya</w:t>
      </w:r>
      <w:proofErr w:type="spellEnd"/>
      <w:r>
        <w:rPr>
          <w:rFonts w:ascii="Times New Roman" w:eastAsia="Times New Roman" w:hAnsi="Times New Roman"/>
          <w:sz w:val="23"/>
        </w:rPr>
        <w:t xml:space="preserve"> program, </w:t>
      </w:r>
      <w:proofErr w:type="spellStart"/>
      <w:r>
        <w:rPr>
          <w:rFonts w:ascii="Times New Roman" w:eastAsia="Times New Roman" w:hAnsi="Times New Roman"/>
          <w:sz w:val="23"/>
        </w:rPr>
        <w:t>melaporkan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bila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sesuatu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janggal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kepada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berwenang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lebih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dulu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menjalankan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proses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kearifan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lokal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yaitu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musyawarah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mufakat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kekeluargaan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biasa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terjadi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kelompok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kecil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menghindari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kesalah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pahaman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berakibat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negatif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seperti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persepsi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salah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terjadi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ketika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kelurahan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tidak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menjelaskan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keberlanjutan</w:t>
      </w:r>
      <w:proofErr w:type="spellEnd"/>
      <w:r>
        <w:rPr>
          <w:rFonts w:ascii="Times New Roman" w:eastAsia="Times New Roman" w:hAnsi="Times New Roman"/>
          <w:sz w:val="23"/>
        </w:rPr>
        <w:t xml:space="preserve"> program </w:t>
      </w:r>
      <w:proofErr w:type="spellStart"/>
      <w:r>
        <w:rPr>
          <w:rFonts w:ascii="Times New Roman" w:eastAsia="Times New Roman" w:hAnsi="Times New Roman"/>
          <w:sz w:val="23"/>
        </w:rPr>
        <w:t>karena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belum</w:t>
      </w:r>
      <w:proofErr w:type="spellEnd"/>
      <w:r>
        <w:rPr>
          <w:rFonts w:ascii="Times New Roman" w:eastAsia="Times New Roman" w:hAnsi="Times New Roman"/>
          <w:sz w:val="23"/>
        </w:rPr>
        <w:t xml:space="preserve">/ </w:t>
      </w:r>
      <w:proofErr w:type="spellStart"/>
      <w:r>
        <w:rPr>
          <w:rFonts w:ascii="Times New Roman" w:eastAsia="Times New Roman" w:hAnsi="Times New Roman"/>
          <w:sz w:val="23"/>
        </w:rPr>
        <w:t>tidak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keputusan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dasar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kuat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memiliki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penghidupan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kehidupan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layak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sebagai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warga</w:t>
      </w:r>
      <w:proofErr w:type="spellEnd"/>
      <w:r>
        <w:rPr>
          <w:rFonts w:ascii="Times New Roman" w:eastAsia="Times New Roman" w:hAnsi="Times New Roman"/>
          <w:sz w:val="23"/>
        </w:rPr>
        <w:t xml:space="preserve"> Negara yang </w:t>
      </w:r>
      <w:proofErr w:type="spellStart"/>
      <w:r>
        <w:rPr>
          <w:rFonts w:ascii="Times New Roman" w:eastAsia="Times New Roman" w:hAnsi="Times New Roman"/>
          <w:sz w:val="23"/>
        </w:rPr>
        <w:t>bijak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hendaknya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turut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pelaksanaan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pembangunan</w:t>
      </w:r>
      <w:proofErr w:type="spellEnd"/>
      <w:r>
        <w:rPr>
          <w:rFonts w:ascii="Times New Roman" w:eastAsia="Times New Roman" w:hAnsi="Times New Roman"/>
          <w:sz w:val="23"/>
        </w:rPr>
        <w:t>.</w:t>
      </w:r>
      <w:proofErr w:type="gramEnd"/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6DE91B1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38437FD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7644A45C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20E06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41D9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0E06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1C00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2C07"/>
    <w:rsid w:val="00783315"/>
    <w:rsid w:val="00790F69"/>
    <w:rsid w:val="00793507"/>
    <w:rsid w:val="0079396A"/>
    <w:rsid w:val="0079541F"/>
    <w:rsid w:val="007A2FC6"/>
    <w:rsid w:val="007A36CA"/>
    <w:rsid w:val="007A4F0B"/>
    <w:rsid w:val="007A740F"/>
    <w:rsid w:val="007A7DFC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224"/>
    <w:rsid w:val="008C2BF2"/>
    <w:rsid w:val="008D40DD"/>
    <w:rsid w:val="008D4A27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1AAD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5C96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2017-11-03T10:21:00Z</dcterms:created>
  <dcterms:modified xsi:type="dcterms:W3CDTF">2017-11-03T10:21:00Z</dcterms:modified>
</cp:coreProperties>
</file>