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4" w:rsidRPr="00F12E74" w:rsidRDefault="008F5074" w:rsidP="008F5074">
      <w:pPr>
        <w:spacing w:after="0"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7.85pt;margin-top:-84.15pt;width:30.75pt;height:24.75pt;z-index:251660288" stroked="f"/>
        </w:pict>
      </w:r>
      <w:r w:rsidRPr="00F12E7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F5074" w:rsidRPr="00F12E74" w:rsidRDefault="008F5074" w:rsidP="008F5074">
      <w:pPr>
        <w:spacing w:after="0"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7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F5074" w:rsidRPr="00C22D16" w:rsidRDefault="008F5074" w:rsidP="008F507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D1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22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D1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F5074" w:rsidRPr="00254C60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Ukhrowiyah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Dornbush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2004),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6.35pt;margin-top:148.25pt;width:43.5pt;height:28.5pt;z-index:251661312" stroked="f">
            <v:textbox>
              <w:txbxContent>
                <w:p w:rsidR="008F5074" w:rsidRPr="00B70A79" w:rsidRDefault="008F5074" w:rsidP="008F507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gejolak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defisit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(BPS)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data tahunan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surplus terjadi pada kuartal I-2010 hingga di kuartal III-2011.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Sementara itu,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kuartal IV-2011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2.301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US$,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terus berlanjut hingga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kuartal ke IV-2014 yang menunjukkan angka -5.674 Juta US$.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8F5074" w:rsidRPr="00C22D16" w:rsidRDefault="008F5074" w:rsidP="008F5074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8F5074" w:rsidRPr="00837ADC" w:rsidRDefault="008F5074" w:rsidP="008F5074">
      <w:pPr>
        <w:pStyle w:val="ListParagraph"/>
        <w:spacing w:after="0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D038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33925" cy="27432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5074" w:rsidRPr="000048E6" w:rsidRDefault="008F5074" w:rsidP="008F5074">
      <w:pPr>
        <w:spacing w:after="0"/>
        <w:ind w:left="28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1.1 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Grafik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Neraca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Berjalan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di </w:t>
      </w:r>
      <w:r w:rsidRPr="000048E6"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r w:rsidRPr="000048E6">
        <w:rPr>
          <w:rFonts w:ascii="Times New Roman" w:hAnsi="Times New Roman" w:cs="Times New Roman"/>
          <w:i/>
          <w:sz w:val="24"/>
          <w:szCs w:val="24"/>
          <w:lang w:val="id-ID"/>
        </w:rPr>
        <w:t>Kuartal I-2010 sampai Kuartal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0048E6">
        <w:rPr>
          <w:rFonts w:ascii="Times New Roman" w:hAnsi="Times New Roman" w:cs="Times New Roman"/>
          <w:i/>
          <w:sz w:val="24"/>
          <w:szCs w:val="24"/>
          <w:lang w:val="id-ID"/>
        </w:rPr>
        <w:t>-2014</w:t>
      </w:r>
      <w:r w:rsidRPr="000048E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8E6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0048E6">
        <w:rPr>
          <w:rFonts w:ascii="Times New Roman" w:hAnsi="Times New Roman" w:cs="Times New Roman"/>
          <w:i/>
          <w:sz w:val="24"/>
          <w:szCs w:val="24"/>
        </w:rPr>
        <w:t xml:space="preserve"> US$)</w:t>
      </w:r>
    </w:p>
    <w:p w:rsidR="008F5074" w:rsidRPr="000048E6" w:rsidRDefault="008F5074" w:rsidP="008F5074">
      <w:pPr>
        <w:pStyle w:val="ListParagraph"/>
        <w:tabs>
          <w:tab w:val="left" w:pos="270"/>
        </w:tabs>
        <w:spacing w:after="0" w:line="240" w:lineRule="auto"/>
        <w:ind w:left="426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048E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48E6">
        <w:rPr>
          <w:rFonts w:ascii="Times New Roman" w:hAnsi="Times New Roman" w:cs="Times New Roman"/>
          <w:i/>
          <w:sz w:val="24"/>
          <w:szCs w:val="24"/>
          <w:lang w:val="id-ID"/>
        </w:rPr>
        <w:t>Sumber : Data Badan Pusat Statistik 2015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fluktuasi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Kuartal I-2010-Kuartal IV-2014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Surplus tertinggi tercatat pada kuartal ke I-2011 yang menunjukkan angka 2.946 Juta US$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29.102,16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US$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diakibatkan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nonmigas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dikeluarkanya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perizinan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terendah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10.859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US$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diakibatkan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komoditas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diuangkap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 Indonesia (BI)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dipublikasikan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indonesia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mencerminkan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perekonomian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indonesia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kenyataannya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indonesia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surplus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ditandai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Surplus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fluktuasi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luktuasi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ekspor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impor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disebakan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turunnya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anyaknya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beredar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inflasi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diungkapkan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Sumiyati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(2007), </w:t>
      </w:r>
      <w:proofErr w:type="spellStart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77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lastRenderedPageBreak/>
        <w:t>neraca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457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Pr="000651E0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 tahun terakhir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751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260"/>
        <w:gridCol w:w="1710"/>
        <w:gridCol w:w="1350"/>
        <w:gridCol w:w="2112"/>
      </w:tblGrid>
      <w:tr w:rsidR="008F5074" w:rsidTr="00E31981">
        <w:trPr>
          <w:trHeight w:val="1268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F5074" w:rsidRPr="00DB40DF" w:rsidRDefault="008F5074" w:rsidP="00E3198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F5074" w:rsidRPr="00DB40DF" w:rsidRDefault="008F5074" w:rsidP="00E3198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Neraca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Transaksi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Berjalan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Juta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Rupiah)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8F5074" w:rsidRPr="00DB40DF" w:rsidRDefault="008F5074" w:rsidP="00E3198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(Rupiah/USD)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8F5074" w:rsidRPr="00DB40DF" w:rsidRDefault="008F5074" w:rsidP="00E3198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Inflasi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8F5074" w:rsidRPr="00DB40DF" w:rsidRDefault="008F5074" w:rsidP="00E3198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Uang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Beredar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>Miliar</w:t>
            </w:r>
            <w:proofErr w:type="spellEnd"/>
            <w:r w:rsidRPr="00DB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Rupiah)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2013Q1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8F5074" w:rsidTr="00E31981">
        <w:trPr>
          <w:trHeight w:val="224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2013Q2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2013Q3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2013Q4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2014Q1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2014Q2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</w:tr>
      <w:tr w:rsidR="008F5074" w:rsidTr="00E31981">
        <w:trPr>
          <w:trHeight w:val="224"/>
        </w:trPr>
        <w:tc>
          <w:tcPr>
            <w:tcW w:w="108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2014Q3</w:t>
            </w:r>
          </w:p>
        </w:tc>
        <w:tc>
          <w:tcPr>
            <w:tcW w:w="1260" w:type="dxa"/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71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50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2" w:type="dxa"/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8F5074" w:rsidTr="00E31981">
        <w:trPr>
          <w:trHeight w:val="238"/>
        </w:trPr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2014Q4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8F5074" w:rsidRPr="00DB40DF" w:rsidRDefault="008F5074" w:rsidP="00E31981">
            <w:pPr>
              <w:ind w:left="6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2" w:type="dxa"/>
            <w:tcBorders>
              <w:bottom w:val="single" w:sz="12" w:space="0" w:color="auto"/>
            </w:tcBorders>
            <w:vAlign w:val="bottom"/>
          </w:tcPr>
          <w:p w:rsidR="008F5074" w:rsidRPr="00DB40DF" w:rsidRDefault="008F5074" w:rsidP="00E31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946.</w:t>
            </w:r>
            <w:r w:rsidRPr="00D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</w:tr>
    </w:tbl>
    <w:p w:rsidR="008F5074" w:rsidRPr="0047057E" w:rsidRDefault="008F5074" w:rsidP="008F5074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8F5074" w:rsidRDefault="008F5074" w:rsidP="008F5074">
      <w:pPr>
        <w:pStyle w:val="ListParagraph"/>
        <w:spacing w:before="240"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Ukhrowiyah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(Sukirno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F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F41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F41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F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F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F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Hume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Pr="008703F4" w:rsidRDefault="008F5074" w:rsidP="008F5074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surplus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Pr="008703F4" w:rsidRDefault="008F5074" w:rsidP="008F507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70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F5074" w:rsidRPr="008703F4" w:rsidRDefault="008F5074" w:rsidP="008F5074">
      <w:pPr>
        <w:pStyle w:val="ListParagraph"/>
        <w:spacing w:before="24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Apakah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 t</w:t>
      </w:r>
      <w:proofErr w:type="spellStart"/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Indonesia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5074" w:rsidRPr="008703F4" w:rsidRDefault="008F5074" w:rsidP="008F5074">
      <w:pPr>
        <w:pStyle w:val="ListParagraph"/>
        <w:numPr>
          <w:ilvl w:val="1"/>
          <w:numId w:val="1"/>
        </w:numPr>
        <w:spacing w:before="24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70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70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074" w:rsidRPr="008703F4" w:rsidRDefault="008F5074" w:rsidP="008F5074">
      <w:pPr>
        <w:pStyle w:val="ListParagraph"/>
        <w:spacing w:before="24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5324E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Indonesia.</w:t>
      </w:r>
      <w:proofErr w:type="gramEnd"/>
    </w:p>
    <w:p w:rsidR="008F5074" w:rsidRPr="008703F4" w:rsidRDefault="008F5074" w:rsidP="008F507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70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03F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F5074" w:rsidRDefault="008F5074" w:rsidP="008F5074">
      <w:pPr>
        <w:pStyle w:val="ListParagraph"/>
        <w:spacing w:after="0" w:line="48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proofErr w:type="spellStart"/>
      <w:r w:rsidRPr="0055324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2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5074" w:rsidRPr="0055324E" w:rsidRDefault="008F5074" w:rsidP="008F5074">
      <w:pPr>
        <w:pStyle w:val="ListParagraph"/>
        <w:numPr>
          <w:ilvl w:val="0"/>
          <w:numId w:val="2"/>
        </w:num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3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74" w:rsidRDefault="008F5074" w:rsidP="008F5074">
      <w:pPr>
        <w:pStyle w:val="ListParagraph"/>
        <w:numPr>
          <w:ilvl w:val="0"/>
          <w:numId w:val="2"/>
        </w:num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74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peneliti-peneliti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B742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074" w:rsidRDefault="008F5074" w:rsidP="008F5074">
      <w:pPr>
        <w:pStyle w:val="ListParagraph"/>
        <w:numPr>
          <w:ilvl w:val="0"/>
          <w:numId w:val="2"/>
        </w:num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74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074" w:rsidRDefault="008F5074" w:rsidP="008F5074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F5074" w:rsidRDefault="008F5074" w:rsidP="008F5074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FA9"/>
    <w:multiLevelType w:val="multilevel"/>
    <w:tmpl w:val="76CA9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9963A3F"/>
    <w:multiLevelType w:val="hybridMultilevel"/>
    <w:tmpl w:val="381871E6"/>
    <w:lvl w:ilvl="0" w:tplc="0868D46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8F5074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339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BF2"/>
    <w:rsid w:val="008D40DD"/>
    <w:rsid w:val="008D4A27"/>
    <w:rsid w:val="008E36E1"/>
    <w:rsid w:val="008E3DA3"/>
    <w:rsid w:val="008F0145"/>
    <w:rsid w:val="008F0890"/>
    <w:rsid w:val="008F5074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74"/>
    <w:pPr>
      <w:spacing w:line="360" w:lineRule="auto"/>
      <w:ind w:left="994" w:hanging="6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74"/>
    <w:pPr>
      <w:ind w:left="720"/>
      <w:contextualSpacing/>
    </w:pPr>
  </w:style>
  <w:style w:type="table" w:styleId="TableGrid">
    <w:name w:val="Table Grid"/>
    <w:basedOn w:val="TableNormal"/>
    <w:uiPriority w:val="59"/>
    <w:rsid w:val="008F5074"/>
    <w:pPr>
      <w:spacing w:after="0" w:line="240" w:lineRule="auto"/>
      <w:ind w:left="994" w:hanging="6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NI%20PUTU%20PROPOSAL\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/>
      <c:lineChart>
        <c:grouping val="standard"/>
        <c:ser>
          <c:idx val="0"/>
          <c:order val="0"/>
          <c:tx>
            <c:strRef>
              <c:f>'SKRIPSI '!$B$1</c:f>
              <c:strCache>
                <c:ptCount val="1"/>
                <c:pt idx="0">
                  <c:v>NERACA</c:v>
                </c:pt>
              </c:strCache>
            </c:strRef>
          </c:tx>
          <c:cat>
            <c:strRef>
              <c:f>'SKRIPSI '!$A$2:$A$21</c:f>
              <c:strCache>
                <c:ptCount val="20"/>
                <c:pt idx="0">
                  <c:v>2010Q1</c:v>
                </c:pt>
                <c:pt idx="1">
                  <c:v>2010Q2</c:v>
                </c:pt>
                <c:pt idx="2">
                  <c:v>2010Q3</c:v>
                </c:pt>
                <c:pt idx="3">
                  <c:v>2010Q4</c:v>
                </c:pt>
                <c:pt idx="4">
                  <c:v>2011Q1</c:v>
                </c:pt>
                <c:pt idx="5">
                  <c:v>2011Q2</c:v>
                </c:pt>
                <c:pt idx="6">
                  <c:v>2011Q3</c:v>
                </c:pt>
                <c:pt idx="7">
                  <c:v>2011Q4</c:v>
                </c:pt>
                <c:pt idx="8">
                  <c:v>2012Q1</c:v>
                </c:pt>
                <c:pt idx="9">
                  <c:v>2012Q2</c:v>
                </c:pt>
                <c:pt idx="10">
                  <c:v>2012Q3</c:v>
                </c:pt>
                <c:pt idx="11">
                  <c:v>2012Q4</c:v>
                </c:pt>
                <c:pt idx="12">
                  <c:v>2013Q1</c:v>
                </c:pt>
                <c:pt idx="13">
                  <c:v>2013Q2</c:v>
                </c:pt>
                <c:pt idx="14">
                  <c:v>2013Q3</c:v>
                </c:pt>
                <c:pt idx="15">
                  <c:v>2013Q4</c:v>
                </c:pt>
                <c:pt idx="16">
                  <c:v>2014Q1</c:v>
                </c:pt>
                <c:pt idx="17">
                  <c:v>2014Q2</c:v>
                </c:pt>
                <c:pt idx="18">
                  <c:v>2014Q3</c:v>
                </c:pt>
                <c:pt idx="19">
                  <c:v>2014Q4</c:v>
                </c:pt>
              </c:strCache>
            </c:strRef>
          </c:cat>
          <c:val>
            <c:numRef>
              <c:f>'SKRIPSI '!$B$2:$B$21</c:f>
              <c:numCache>
                <c:formatCode>#,##0</c:formatCode>
                <c:ptCount val="20"/>
                <c:pt idx="0">
                  <c:v>2007</c:v>
                </c:pt>
                <c:pt idx="1">
                  <c:v>1804</c:v>
                </c:pt>
                <c:pt idx="2">
                  <c:v>1043</c:v>
                </c:pt>
                <c:pt idx="3">
                  <c:v>870</c:v>
                </c:pt>
                <c:pt idx="4">
                  <c:v>2946</c:v>
                </c:pt>
                <c:pt idx="5">
                  <c:v>265</c:v>
                </c:pt>
                <c:pt idx="6">
                  <c:v>766</c:v>
                </c:pt>
                <c:pt idx="7">
                  <c:v>-2301</c:v>
                </c:pt>
                <c:pt idx="8">
                  <c:v>-3192</c:v>
                </c:pt>
                <c:pt idx="9">
                  <c:v>-8149</c:v>
                </c:pt>
                <c:pt idx="10">
                  <c:v>-5264.73</c:v>
                </c:pt>
                <c:pt idx="11">
                  <c:v>-7812.49</c:v>
                </c:pt>
                <c:pt idx="12">
                  <c:v>-6007.3600000000024</c:v>
                </c:pt>
                <c:pt idx="13">
                  <c:v>-10125.65</c:v>
                </c:pt>
                <c:pt idx="14">
                  <c:v>-8635.4</c:v>
                </c:pt>
                <c:pt idx="15">
                  <c:v>-4333.75</c:v>
                </c:pt>
                <c:pt idx="16">
                  <c:v>-4051.32</c:v>
                </c:pt>
                <c:pt idx="17">
                  <c:v>-8819.91</c:v>
                </c:pt>
                <c:pt idx="18">
                  <c:v>-6857.75</c:v>
                </c:pt>
                <c:pt idx="19">
                  <c:v>-5674.1900000000014</c:v>
                </c:pt>
              </c:numCache>
            </c:numRef>
          </c:val>
        </c:ser>
        <c:marker val="1"/>
        <c:axId val="84306176"/>
        <c:axId val="84307968"/>
      </c:lineChart>
      <c:catAx>
        <c:axId val="843061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4307968"/>
        <c:crosses val="autoZero"/>
        <c:auto val="1"/>
        <c:lblAlgn val="ctr"/>
        <c:lblOffset val="100"/>
      </c:catAx>
      <c:valAx>
        <c:axId val="84307968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84306176"/>
        <c:crosses val="autoZero"/>
        <c:crossBetween val="between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2017-11-03T06:59:00Z</dcterms:created>
  <dcterms:modified xsi:type="dcterms:W3CDTF">2017-11-03T07:00:00Z</dcterms:modified>
</cp:coreProperties>
</file>