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95" w:rsidRPr="00FD0D95" w:rsidRDefault="00FD0D95" w:rsidP="007D3854">
      <w:pPr>
        <w:tabs>
          <w:tab w:val="left" w:pos="8550"/>
        </w:tabs>
        <w:spacing w:after="41" w:line="240" w:lineRule="auto"/>
        <w:ind w:left="720" w:right="828"/>
        <w:jc w:val="center"/>
        <w:rPr>
          <w:b/>
          <w:color w:val="000000" w:themeColor="text1"/>
          <w:sz w:val="24"/>
          <w:lang w:val="en-US"/>
        </w:rPr>
      </w:pPr>
    </w:p>
    <w:p w:rsidR="00FD0D95" w:rsidRDefault="003A2B4A" w:rsidP="007D3854">
      <w:pPr>
        <w:tabs>
          <w:tab w:val="left" w:pos="8550"/>
        </w:tabs>
        <w:spacing w:after="41" w:line="240" w:lineRule="auto"/>
        <w:ind w:left="720" w:right="828"/>
        <w:jc w:val="center"/>
        <w:rPr>
          <w:b/>
          <w:color w:val="000000" w:themeColor="text1"/>
          <w:sz w:val="24"/>
          <w:lang w:val="en-US"/>
        </w:rPr>
      </w:pPr>
      <w:r w:rsidRPr="003A2B4A">
        <w:rPr>
          <w:b/>
          <w:color w:val="000000" w:themeColor="text1"/>
          <w:sz w:val="24"/>
          <w:lang w:val="en-US"/>
        </w:rPr>
        <w:t>TEACHING SCIENCE THROUGH DEMONSTRATIONS: AN INNOVATIVE APPROACH TO IMPROVE STUDENTS' ENVIRONMENTAL SCIENCE LITERACY</w:t>
      </w:r>
    </w:p>
    <w:p w:rsidR="003A2B4A" w:rsidRPr="003A2B4A" w:rsidRDefault="003A2B4A" w:rsidP="007D3854">
      <w:pPr>
        <w:tabs>
          <w:tab w:val="left" w:pos="8550"/>
        </w:tabs>
        <w:spacing w:after="41" w:line="240" w:lineRule="auto"/>
        <w:ind w:left="720" w:right="828"/>
        <w:jc w:val="center"/>
        <w:rPr>
          <w:b/>
          <w:color w:val="000000" w:themeColor="text1"/>
          <w:sz w:val="24"/>
          <w:lang w:val="en-US"/>
        </w:rPr>
      </w:pPr>
    </w:p>
    <w:p w:rsidR="004B6874" w:rsidRPr="00FD0D95" w:rsidRDefault="00FD0D95" w:rsidP="00FD0D95">
      <w:pPr>
        <w:tabs>
          <w:tab w:val="left" w:pos="8550"/>
        </w:tabs>
        <w:spacing w:after="41" w:line="240" w:lineRule="auto"/>
        <w:ind w:left="720" w:right="828"/>
        <w:jc w:val="center"/>
        <w:rPr>
          <w:b/>
          <w:i/>
          <w:color w:val="000000" w:themeColor="text1"/>
          <w:sz w:val="24"/>
          <w:lang w:val="en-US"/>
        </w:rPr>
      </w:pPr>
      <w:r w:rsidRPr="00FD0D95">
        <w:rPr>
          <w:b/>
          <w:i/>
          <w:color w:val="000000" w:themeColor="text1"/>
          <w:sz w:val="24"/>
          <w:lang w:val="en-US"/>
        </w:rPr>
        <w:t>(</w:t>
      </w:r>
      <w:r w:rsidR="003A2B4A" w:rsidRPr="003A2B4A">
        <w:rPr>
          <w:b/>
          <w:i/>
          <w:color w:val="000000" w:themeColor="text1"/>
          <w:sz w:val="24"/>
          <w:lang w:val="en-US"/>
        </w:rPr>
        <w:t>PENGAJARAN SAINS MELALUI DEMONSTRASI: PENDEKATAN INOVATIF UNTUK MENINGKATKAN LITERASI SAINS LINGKUNGAN SISWA</w:t>
      </w:r>
      <w:r w:rsidRPr="00FD0D95">
        <w:rPr>
          <w:b/>
          <w:i/>
          <w:color w:val="000000" w:themeColor="text1"/>
          <w:sz w:val="24"/>
          <w:lang w:val="en-US"/>
        </w:rPr>
        <w:t>)</w:t>
      </w:r>
    </w:p>
    <w:p w:rsidR="004C4A3F" w:rsidRPr="007D3854" w:rsidRDefault="004C4A3F" w:rsidP="004C4A3F">
      <w:pPr>
        <w:spacing w:after="41" w:line="240" w:lineRule="auto"/>
        <w:ind w:left="0" w:right="828" w:firstLine="0"/>
        <w:rPr>
          <w:b/>
          <w:sz w:val="24"/>
        </w:rPr>
      </w:pPr>
    </w:p>
    <w:p w:rsidR="007D3854" w:rsidRDefault="00A219DD" w:rsidP="00FD0D95">
      <w:pPr>
        <w:spacing w:after="0" w:line="240" w:lineRule="auto"/>
        <w:ind w:left="0" w:firstLine="0"/>
        <w:jc w:val="left"/>
        <w:rPr>
          <w:b/>
          <w:vertAlign w:val="superscript"/>
        </w:rPr>
      </w:pPr>
      <w:r>
        <w:rPr>
          <w:b/>
          <w:sz w:val="31"/>
        </w:rPr>
        <w:t xml:space="preserve"> </w:t>
      </w:r>
      <w:r>
        <w:rPr>
          <w:b/>
        </w:rPr>
        <w:t xml:space="preserve">                                               </w:t>
      </w:r>
      <w:r w:rsidR="003D6DC5">
        <w:rPr>
          <w:b/>
        </w:rPr>
        <w:t>Erma</w:t>
      </w:r>
      <w:r w:rsidR="007D3854">
        <w:rPr>
          <w:b/>
          <w:vertAlign w:val="superscript"/>
        </w:rPr>
        <w:t>1</w:t>
      </w:r>
      <w:r>
        <w:rPr>
          <w:b/>
        </w:rPr>
        <w:t xml:space="preserve">, </w:t>
      </w:r>
      <w:r w:rsidR="003D6DC5">
        <w:rPr>
          <w:b/>
        </w:rPr>
        <w:t>Liskawati</w:t>
      </w:r>
      <w:r w:rsidR="003D6DC5">
        <w:rPr>
          <w:b/>
          <w:vertAlign w:val="superscript"/>
        </w:rPr>
        <w:t xml:space="preserve"> </w:t>
      </w:r>
      <w:r>
        <w:rPr>
          <w:b/>
          <w:vertAlign w:val="superscript"/>
        </w:rPr>
        <w:t>2</w:t>
      </w:r>
      <w:r>
        <w:rPr>
          <w:b/>
        </w:rPr>
        <w:t xml:space="preserve">, </w:t>
      </w:r>
      <w:r w:rsidR="007D3854">
        <w:rPr>
          <w:b/>
        </w:rPr>
        <w:t>Syamsyiah</w:t>
      </w:r>
      <w:r w:rsidR="007D3854">
        <w:rPr>
          <w:b/>
          <w:vertAlign w:val="superscript"/>
        </w:rPr>
        <w:t>3</w:t>
      </w:r>
    </w:p>
    <w:p w:rsidR="00FE34C3" w:rsidRDefault="007D3854" w:rsidP="007D3854">
      <w:pPr>
        <w:spacing w:after="1" w:line="245" w:lineRule="auto"/>
        <w:ind w:left="2700" w:right="2267" w:firstLine="180"/>
        <w:rPr>
          <w:b/>
        </w:rPr>
      </w:pPr>
      <w:r>
        <w:rPr>
          <w:b/>
        </w:rPr>
        <w:t xml:space="preserve">    </w:t>
      </w:r>
    </w:p>
    <w:p w:rsidR="006C61E4" w:rsidRDefault="00A219DD" w:rsidP="007D3854">
      <w:pPr>
        <w:spacing w:after="1" w:line="245" w:lineRule="auto"/>
        <w:ind w:left="2700" w:right="2267" w:firstLine="180"/>
      </w:pPr>
      <w:r>
        <w:t xml:space="preserve">Universitas Negeri Makassar, Indonesia </w:t>
      </w:r>
    </w:p>
    <w:p w:rsidR="006C61E4" w:rsidRPr="007D3854" w:rsidRDefault="00A219DD" w:rsidP="007D3854">
      <w:pPr>
        <w:spacing w:after="0" w:line="240" w:lineRule="auto"/>
        <w:ind w:left="10" w:right="-15"/>
        <w:jc w:val="center"/>
        <w:rPr>
          <w:color w:val="0000FF"/>
          <w:u w:val="single" w:color="0000FF"/>
        </w:rPr>
      </w:pPr>
      <w:r>
        <w:rPr>
          <w:vertAlign w:val="superscript"/>
        </w:rPr>
        <w:t>1</w:t>
      </w:r>
      <w:r>
        <w:t xml:space="preserve">*E-mail: </w:t>
      </w:r>
      <w:r w:rsidR="003D6DC5">
        <w:rPr>
          <w:color w:val="0000FF"/>
          <w:u w:val="single" w:color="0000FF"/>
        </w:rPr>
        <w:t>ermasuryani@unm.ac.id</w:t>
      </w:r>
      <w:r w:rsidR="003D6DC5">
        <w:t xml:space="preserve"> </w:t>
      </w:r>
    </w:p>
    <w:p w:rsidR="006C61E4" w:rsidRDefault="00F00D3C">
      <w:pPr>
        <w:spacing w:after="0" w:line="240" w:lineRule="auto"/>
        <w:ind w:left="10" w:right="-15"/>
        <w:jc w:val="center"/>
      </w:pPr>
      <w:r>
        <w:rPr>
          <w:color w:val="0000FF"/>
        </w:rPr>
        <w:t xml:space="preserve">   </w:t>
      </w:r>
      <w:r w:rsidR="00A219DD">
        <w:rPr>
          <w:vertAlign w:val="superscript"/>
        </w:rPr>
        <w:t>2</w:t>
      </w:r>
      <w:r w:rsidR="00A219DD">
        <w:t>*E-mail:</w:t>
      </w:r>
      <w:r w:rsidR="003D6DC5" w:rsidRPr="003D6DC5">
        <w:rPr>
          <w:color w:val="0000FF"/>
          <w:u w:val="single" w:color="0000FF"/>
        </w:rPr>
        <w:t xml:space="preserve"> </w:t>
      </w:r>
      <w:r w:rsidR="003D6DC5">
        <w:rPr>
          <w:color w:val="0000FF"/>
          <w:u w:val="single" w:color="0000FF"/>
        </w:rPr>
        <w:t>liskawati2811@gmail.com</w:t>
      </w:r>
    </w:p>
    <w:p w:rsidR="006C61E4" w:rsidRDefault="00A219DD" w:rsidP="00F00D3C">
      <w:pPr>
        <w:spacing w:after="0" w:line="240" w:lineRule="auto"/>
        <w:ind w:left="10" w:right="-15" w:firstLine="106"/>
        <w:jc w:val="center"/>
      </w:pPr>
      <w:r>
        <w:rPr>
          <w:vertAlign w:val="superscript"/>
        </w:rPr>
        <w:t>3</w:t>
      </w:r>
      <w:r>
        <w:t xml:space="preserve">E-mail: </w:t>
      </w:r>
      <w:r w:rsidR="008C07B3">
        <w:rPr>
          <w:color w:val="0000FF"/>
          <w:u w:val="single" w:color="0000FF"/>
        </w:rPr>
        <w:t>syamsiah.d</w:t>
      </w:r>
      <w:r>
        <w:rPr>
          <w:color w:val="0000FF"/>
          <w:u w:val="single" w:color="0000FF"/>
        </w:rPr>
        <w:t>@unm. ac.id</w:t>
      </w:r>
      <w:r>
        <w:t xml:space="preserve"> </w:t>
      </w:r>
    </w:p>
    <w:p w:rsidR="006C61E4" w:rsidRDefault="00A219DD">
      <w:pPr>
        <w:spacing w:after="36" w:line="240" w:lineRule="auto"/>
        <w:ind w:left="0" w:firstLine="0"/>
        <w:jc w:val="left"/>
      </w:pPr>
      <w:r>
        <w:rPr>
          <w:sz w:val="11"/>
        </w:rPr>
        <w:t xml:space="preserve"> </w:t>
      </w:r>
    </w:p>
    <w:p w:rsidR="006C61E4" w:rsidRDefault="00A219DD">
      <w:pPr>
        <w:spacing w:after="74" w:line="240" w:lineRule="auto"/>
        <w:ind w:left="116" w:firstLine="0"/>
        <w:jc w:val="left"/>
      </w:pPr>
      <w:r>
        <w:rPr>
          <w:rFonts w:ascii="Calibri" w:eastAsia="Calibri" w:hAnsi="Calibri" w:cs="Calibri"/>
          <w:noProof/>
          <w:lang w:val="en-US" w:eastAsia="en-US"/>
        </w:rPr>
        <mc:AlternateContent>
          <mc:Choice Requires="wpg">
            <w:drawing>
              <wp:inline distT="0" distB="0" distL="0" distR="0">
                <wp:extent cx="5755006" cy="19050"/>
                <wp:effectExtent l="0" t="0" r="0" b="0"/>
                <wp:docPr id="15613" name="Group 15613"/>
                <wp:cNvGraphicFramePr/>
                <a:graphic xmlns:a="http://schemas.openxmlformats.org/drawingml/2006/main">
                  <a:graphicData uri="http://schemas.microsoft.com/office/word/2010/wordprocessingGroup">
                    <wpg:wgp>
                      <wpg:cNvGrpSpPr/>
                      <wpg:grpSpPr>
                        <a:xfrm>
                          <a:off x="0" y="0"/>
                          <a:ext cx="5755006" cy="19050"/>
                          <a:chOff x="0" y="0"/>
                          <a:chExt cx="5755006" cy="19050"/>
                        </a:xfrm>
                      </wpg:grpSpPr>
                      <wps:wsp>
                        <wps:cNvPr id="9" name="Shape 9"/>
                        <wps:cNvSpPr/>
                        <wps:spPr>
                          <a:xfrm>
                            <a:off x="0" y="0"/>
                            <a:ext cx="5753735" cy="0"/>
                          </a:xfrm>
                          <a:custGeom>
                            <a:avLst/>
                            <a:gdLst/>
                            <a:ahLst/>
                            <a:cxnLst/>
                            <a:rect l="0" t="0" r="0" b="0"/>
                            <a:pathLst>
                              <a:path w="5753735">
                                <a:moveTo>
                                  <a:pt x="0" y="0"/>
                                </a:moveTo>
                                <a:lnTo>
                                  <a:pt x="575373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1270" y="19050"/>
                            <a:ext cx="5753735" cy="0"/>
                          </a:xfrm>
                          <a:custGeom>
                            <a:avLst/>
                            <a:gdLst/>
                            <a:ahLst/>
                            <a:cxnLst/>
                            <a:rect l="0" t="0" r="0" b="0"/>
                            <a:pathLst>
                              <a:path w="5753735">
                                <a:moveTo>
                                  <a:pt x="0" y="0"/>
                                </a:moveTo>
                                <a:lnTo>
                                  <a:pt x="5753735"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23E84152" id="Group 15613" o:spid="_x0000_s1026" style="width:453.15pt;height:1.5pt;mso-position-horizontal-relative:char;mso-position-vertical-relative:line" coordsize="575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aCjwIAAM0IAAAOAAAAZHJzL2Uyb0RvYy54bWzsVslu2zAQvRfoPxC615JsyKkF2zk0rS9F&#10;GzTpB9AUtQAUSZC0Zf99h0NJURw0aF30Fh+oITnrm4Ve355aQY7c2EbJTZTOkohwyVTRyGoT/Xz8&#10;8uFjRKyjsqBCSb6JztxGt9v379adzvlc1UoU3BBQIm3e6U1UO6fzOLas5i21M6W5hMtSmZY62Joq&#10;LgztQHsr4nmSLONOmUIbxbi1cHoXLqMt6i9Lztz3srTcEbGJwDeHq8F179d4u6Z5ZaiuG9a7Qa/w&#10;oqWNBKOjqjvqKDmY5oWqtmFGWVW6GVNtrMqyYRxjgGjS5CKanVEHjbFUeVfpESaA9gKnq9Wyb8d7&#10;Q5oCcpct00VEJG0hTWiZhCOAqNNVDpw7ox/0vekPqrDzUZ9K0/ovxENOCO55BJefHGFwmN1kGSQs&#10;Igzu0lWS9eCzGjL0QorVn1+ViwejsfdtdKXTUEb2CSn7b0g91FRzTID18fdIrQaU8JqsfBF5w8Ax&#10;wmNzC0j9BTaLm0UWsEFcxvhozg7W7bhCgOnxq3WhZouBovVAsZMcSAOV/2rNa+q8nPfQk6TDDKEX&#10;/qxVR/6o8NZdJAdce7oVcsoFOQ5xDOkH3sABhDezXfcEmgZ6GpyQ3ovlAiqDMArDwMgCmwraQBYQ&#10;NWqDjwc7wIuUOwvuPRXyBy+hlqHYUpSzptp/EoYcqe9+/PlcoRpg9TJlI8QolfxWyrNSoWva6+rV&#10;9AZQZa/Jc3IcPJdqWe9NmD7QwxDmMIPApVEI3VLSjfISJicanETryb0qztiNCAiUfSjD/17/KTge&#10;xkRoANgDqt6jP+qAdH4DCp4PgcmQeGsEKOS3Rhj688pGwGcB3kxszf5994/ydA/09F/I9hcAAAD/&#10;/wMAUEsDBBQABgAIAAAAIQALkrCS2wAAAAMBAAAPAAAAZHJzL2Rvd25yZXYueG1sTI9BS8NAEIXv&#10;gv9hGcGb3Y3Bomk2pRT1VARbQXqbZqdJaHY2ZLdJ+u9dvdjLwOM93vsmX062FQP1vnGsIZkpEMSl&#10;Mw1XGr52bw/PIHxANtg6Jg0X8rAsbm9yzIwb+ZOGbahELGGfoYY6hC6T0pc1WfQz1xFH7+h6iyHK&#10;vpKmxzGW21Y+KjWXFhuOCzV2tK6pPG3PVsP7iOMqTV6Hzem4vux3Tx/fm4S0vr+bVgsQgabwH4Zf&#10;/IgORWQ6uDMbL1oN8ZHwd6P3ouYpiIOGVIEscnnNXvwAAAD//wMAUEsBAi0AFAAGAAgAAAAhALaD&#10;OJL+AAAA4QEAABMAAAAAAAAAAAAAAAAAAAAAAFtDb250ZW50X1R5cGVzXS54bWxQSwECLQAUAAYA&#10;CAAAACEAOP0h/9YAAACUAQAACwAAAAAAAAAAAAAAAAAvAQAAX3JlbHMvLnJlbHNQSwECLQAUAAYA&#10;CAAAACEAXzB2go8CAADNCAAADgAAAAAAAAAAAAAAAAAuAgAAZHJzL2Uyb0RvYy54bWxQSwECLQAU&#10;AAYACAAAACEAC5KwktsAAAADAQAADwAAAAAAAAAAAAAAAADpBAAAZHJzL2Rvd25yZXYueG1sUEsF&#10;BgAAAAAEAAQA8wAAAPEFAAAAAA==&#10;">
                <v:shape id="Shape 9" o:spid="_x0000_s1027" style="position:absolute;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LYsUA&#10;AADaAAAADwAAAGRycy9kb3ducmV2LnhtbESPQWvCQBSE7wX/w/IEb3WjQmmiq5TSgJRAMWnB4yP7&#10;TEKzb0N2NWl+fbdQ8DjMzDfM7jCaVtyod41lBatlBIK4tLrhSsFnkT4+g3AeWWNrmRT8kIPDfvaw&#10;w0TbgU90y30lAoRdggpq77tESlfWZNAtbUccvIvtDfog+0rqHocAN61cR9GTNNhwWKixo9eayu/8&#10;ahRsVll8Tr+uZ3wbpyxP34vT8DEptZiPL1sQnkZ/D/+3j1pBDH9Xwg2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gtixQAAANoAAAAPAAAAAAAAAAAAAAAAAJgCAABkcnMv&#10;ZG93bnJldi54bWxQSwUGAAAAAAQABAD1AAAAigMAAAAA&#10;" path="m,l5753735,e" filled="f" strokeweight=".5pt">
                  <v:stroke endcap="round"/>
                  <v:path arrowok="t" textboxrect="0,0,5753735,0"/>
                </v:shape>
                <v:shape id="Shape 10" o:spid="_x0000_s1028" style="position:absolute;left:12;top:190;width:57538;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IRcUA&#10;AADbAAAADwAAAGRycy9kb3ducmV2LnhtbESPQWvCQBCF74L/YRmhN93YQtHoKlIaKEUoxhY8Dtkx&#10;CWZnQ3Y1qb++cyh4m+G9ee+b9XZwjbpRF2rPBuazBBRx4W3NpYHvYzZdgAoR2WLjmQz8UoDtZjxa&#10;Y2p9zwe65bFUEsIhRQNVjG2qdSgqchhmviUW7ew7h1HWrtS2w17CXaOfk+RVO6xZGips6a2i4pJf&#10;nYGX+X55yn6uJ3wf7vs8+zwe+q+7MU+TYbcCFWmID/P/9YcVfKGX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4hFxQAAANsAAAAPAAAAAAAAAAAAAAAAAJgCAABkcnMv&#10;ZG93bnJldi54bWxQSwUGAAAAAAQABAD1AAAAigMAAAAA&#10;" path="m,l5753735,e" filled="f" strokeweight=".5pt">
                  <v:stroke endcap="round"/>
                  <v:path arrowok="t" textboxrect="0,0,5753735,0"/>
                </v:shape>
                <w10:anchorlock/>
              </v:group>
            </w:pict>
          </mc:Fallback>
        </mc:AlternateContent>
      </w:r>
    </w:p>
    <w:p w:rsidR="006C61E4" w:rsidRDefault="00A219DD">
      <w:pPr>
        <w:spacing w:after="0" w:line="240" w:lineRule="auto"/>
        <w:ind w:right="-15"/>
        <w:jc w:val="left"/>
      </w:pPr>
      <w:r>
        <w:rPr>
          <w:b/>
          <w:i/>
          <w:sz w:val="20"/>
        </w:rPr>
        <w:t xml:space="preserve">ABSTRACT </w:t>
      </w:r>
    </w:p>
    <w:p w:rsidR="003A2B4A" w:rsidRPr="00F769B8" w:rsidRDefault="003A2B4A" w:rsidP="00F769B8">
      <w:pPr>
        <w:spacing w:after="240" w:line="243" w:lineRule="auto"/>
        <w:rPr>
          <w:sz w:val="20"/>
          <w:lang w:val="id"/>
        </w:rPr>
      </w:pPr>
      <w:r w:rsidRPr="003A2B4A">
        <w:rPr>
          <w:sz w:val="20"/>
          <w:lang w:val="id"/>
        </w:rPr>
        <w:t>The issue in this study is the poor scientific learning results in class V at UPT Public Elementary School, 127 Inpres Komara I, Polut District, Takalar Regency. This study's aim was to describe how the demonstrative learning model was used to enhance fifth-grade students' scientific learning results at UPT Public Elementary School 127 Inpres Komara I in Takalar Regency's Polut District. This research strategy is qualitative. This kind of study is called classroom action research, and it entails planning, carrying it out, monitoring it, and reflecting on it. The demonstration learning paradigm and science learning outcomes are the main topics of this study. Teachers and fifth-grade children at UPT Public Elementary School, 127 Inpres Komara I, Polut District, Takalar Regency, served as the study's subjects. 7 boys and 6 girls who participated in the even semester of the 2022–2023 academic year: observation data collection methods, assessments, and paperwork. The three data analysis approaches used in this study are data reduction, data presentation, and conclusion. The analysis of the research's findings reveals a significant growth in each cycle. Cycle I test scores with sufficient qualifications increased in cycle II with appropriate qualifications. The data analysis results showed that demonstration learning might enhance student learning outcomes in science in class V UPT Public Elementary School 127 Inpres Komara I, Polut District, Takalar Regency.</w:t>
      </w:r>
    </w:p>
    <w:p w:rsidR="00F769B8" w:rsidRPr="00F769B8" w:rsidRDefault="00F769B8">
      <w:pPr>
        <w:spacing w:after="0" w:line="240" w:lineRule="auto"/>
        <w:ind w:right="-15"/>
        <w:jc w:val="left"/>
        <w:rPr>
          <w:b/>
          <w:sz w:val="16"/>
        </w:rPr>
      </w:pPr>
      <w:r w:rsidRPr="00F769B8">
        <w:rPr>
          <w:b/>
          <w:color w:val="auto"/>
          <w:sz w:val="20"/>
          <w:lang w:val="id" w:eastAsia="en-US"/>
        </w:rPr>
        <w:t>Keywords</w:t>
      </w:r>
      <w:r w:rsidRPr="00F769B8">
        <w:rPr>
          <w:color w:val="auto"/>
          <w:sz w:val="20"/>
          <w:lang w:val="id" w:eastAsia="en-US"/>
        </w:rPr>
        <w:t>: Demonstration, Learning Outcomes, Science Learning.</w:t>
      </w:r>
    </w:p>
    <w:p w:rsidR="00F769B8" w:rsidRDefault="00F769B8">
      <w:pPr>
        <w:spacing w:after="0" w:line="240" w:lineRule="auto"/>
        <w:ind w:right="-15"/>
        <w:jc w:val="left"/>
        <w:rPr>
          <w:b/>
          <w:i/>
          <w:sz w:val="20"/>
        </w:rPr>
      </w:pPr>
    </w:p>
    <w:p w:rsidR="006C61E4" w:rsidRDefault="00A219DD">
      <w:pPr>
        <w:spacing w:after="0" w:line="240" w:lineRule="auto"/>
        <w:ind w:right="-15"/>
        <w:jc w:val="left"/>
      </w:pPr>
      <w:r>
        <w:rPr>
          <w:b/>
          <w:i/>
          <w:sz w:val="20"/>
        </w:rPr>
        <w:t xml:space="preserve">ABSTRAK </w:t>
      </w:r>
    </w:p>
    <w:p w:rsidR="006C61E4" w:rsidRDefault="003A2B4A">
      <w:pPr>
        <w:spacing w:after="0" w:line="243" w:lineRule="auto"/>
      </w:pPr>
      <w:r w:rsidRPr="003A2B4A">
        <w:rPr>
          <w:color w:val="auto"/>
          <w:spacing w:val="1"/>
          <w:lang w:eastAsia="en-US"/>
        </w:rPr>
        <w:t>Permasalahan dalam penelitian ini adalah rendahnya hasil belajar saintifik kelas V di UPT SDN 127 Inpres Komara I Kecamatan Polut Kabupaten Takalar. Penelitian ini bertujuan untuk mendeskripsikan bagaimana model pembelajaran demonstratif digunakan untuk meningkatkan hasil belajar saintifik siswa kelas V di UPT SDN 127 Inpres Komara I Kecamatan Polut Kabupaten Takalar. Strategi penelitian ini adalah kualitatif. Studi semacam ini disebut penelitian tindakan kelas, dan itu memerlukan perencanaan, pelaksanaannya, pemantauannya, dan refleksinya. Paradigma pembelajaran demonstrasi dan hasil belajar IPA menjadi topik utama penelitian ini. Guru dan anak kelas V di UPT SD Negeri 127 Inpres Komara I Kecamatan Polut Kabupaten Takalar dijadikan sebagai subjek penelitian. 7 laki-laki dan 6 perempuan yang mengikuti semester genap tahun akademik 2022–2023: metode pengumpulan data observasi, penilaian, dan kertas kerja. Tiga pendekatan analisis data yang digunakan dalam penelitian ini adalah reduksi data, penyajian data, dan penarikan kesimpulan. Analisis temuan penelitian menunjukkan adanya pertumbuhan yang signifikan pada setiap siklusnya. Nilai tes siklus I dengan kualifikasi cukup meningkat pada siklus II dengan kualifikasi sesuai. Hasil analisis data menunjukkan bahwa pembelajaran demonstrasi dapat meningkatkan hasil belajar IPA siswa kelas V UPT SDN 127 Inpres Komara I Kecamatan Polut Kabupaten Takalar.</w:t>
      </w:r>
    </w:p>
    <w:p w:rsidR="006C61E4" w:rsidRDefault="00A219DD">
      <w:pPr>
        <w:spacing w:after="0" w:line="240" w:lineRule="auto"/>
        <w:ind w:left="0" w:firstLine="0"/>
        <w:jc w:val="left"/>
      </w:pPr>
      <w:r>
        <w:rPr>
          <w:sz w:val="20"/>
        </w:rPr>
        <w:t xml:space="preserve"> </w:t>
      </w:r>
    </w:p>
    <w:p w:rsidR="00F769B8" w:rsidRPr="00F769B8" w:rsidRDefault="00F769B8" w:rsidP="00F769B8">
      <w:pPr>
        <w:widowControl w:val="0"/>
        <w:autoSpaceDE w:val="0"/>
        <w:autoSpaceDN w:val="0"/>
        <w:spacing w:after="0" w:line="240" w:lineRule="auto"/>
        <w:ind w:left="0" w:right="1412" w:firstLine="0"/>
        <w:rPr>
          <w:color w:val="auto"/>
          <w:sz w:val="20"/>
          <w:szCs w:val="20"/>
          <w:lang w:eastAsia="en-US"/>
        </w:rPr>
        <w:sectPr w:rsidR="00F769B8" w:rsidRPr="00F769B8" w:rsidSect="004F654C">
          <w:headerReference w:type="default" r:id="rId8"/>
          <w:footerReference w:type="default" r:id="rId9"/>
          <w:footerReference w:type="first" r:id="rId10"/>
          <w:pgSz w:w="11910" w:h="16840"/>
          <w:pgMar w:top="1580" w:right="1020" w:bottom="1620" w:left="1260" w:header="0" w:footer="1425" w:gutter="0"/>
          <w:cols w:space="720"/>
        </w:sectPr>
      </w:pPr>
      <w:r w:rsidRPr="00F769B8">
        <w:rPr>
          <w:b/>
          <w:color w:val="auto"/>
          <w:sz w:val="20"/>
          <w:szCs w:val="20"/>
          <w:lang w:eastAsia="en-US"/>
        </w:rPr>
        <w:t>Kata Kunci</w:t>
      </w:r>
      <w:r w:rsidRPr="00F769B8">
        <w:rPr>
          <w:color w:val="auto"/>
          <w:sz w:val="20"/>
          <w:szCs w:val="20"/>
          <w:lang w:eastAsia="en-US"/>
        </w:rPr>
        <w:t xml:space="preserve"> : </w:t>
      </w:r>
      <w:r w:rsidRPr="00F769B8">
        <w:rPr>
          <w:i/>
          <w:color w:val="auto"/>
          <w:sz w:val="20"/>
          <w:szCs w:val="20"/>
          <w:lang w:eastAsia="en-US"/>
        </w:rPr>
        <w:t xml:space="preserve">Demonstration, </w:t>
      </w:r>
      <w:r w:rsidRPr="00F769B8">
        <w:rPr>
          <w:color w:val="auto"/>
          <w:sz w:val="20"/>
          <w:szCs w:val="20"/>
          <w:lang w:eastAsia="en-US"/>
        </w:rPr>
        <w:t>Hasil Belajar,  Pembelajaran IPA.</w:t>
      </w:r>
    </w:p>
    <w:p w:rsidR="006C61E4" w:rsidRDefault="002E2656" w:rsidP="00C22685">
      <w:pPr>
        <w:pStyle w:val="Heading1"/>
      </w:pPr>
      <w:r>
        <w:lastRenderedPageBreak/>
        <w:t xml:space="preserve"> </w:t>
      </w:r>
      <w:r w:rsidRPr="002E2656">
        <w:t>INTRODUCTION</w:t>
      </w:r>
    </w:p>
    <w:p w:rsidR="0091554A" w:rsidRDefault="00650A5C" w:rsidP="0091554A">
      <w:pPr>
        <w:spacing w:after="0" w:line="360" w:lineRule="auto"/>
        <w:ind w:left="0" w:firstLine="567"/>
        <w:rPr>
          <w:rFonts w:eastAsia="Calibri"/>
          <w:color w:val="auto"/>
          <w:lang w:val="en-US" w:eastAsia="en-US"/>
        </w:rPr>
      </w:pPr>
      <w:r w:rsidRPr="00650A5C">
        <w:rPr>
          <w:rFonts w:eastAsia="Calibri"/>
          <w:color w:val="auto"/>
          <w:lang w:val="en-US" w:eastAsia="en-US"/>
        </w:rPr>
        <w:t>The Elementary School is a crucial educational component of formal education operations in Indonesia. As a foundation of knowledge for furthering one's education, elementary schools have a tremendous impact</w:t>
      </w:r>
      <w:r>
        <w:rPr>
          <w:rFonts w:eastAsia="Calibri"/>
          <w:color w:val="auto"/>
          <w:lang w:val="en-US" w:eastAsia="en-US"/>
        </w:rPr>
        <w:t xml:space="preserve"> </w:t>
      </w:r>
      <w:r w:rsidR="0091554A" w:rsidRPr="0091554A">
        <w:rPr>
          <w:rFonts w:eastAsia="Calibri"/>
          <w:color w:val="auto"/>
          <w:lang w:val="en-US" w:eastAsia="en-US"/>
        </w:rPr>
        <w:fldChar w:fldCharType="begin" w:fldLock="1"/>
      </w:r>
      <w:r w:rsidR="00B115C2">
        <w:rPr>
          <w:rFonts w:eastAsia="Calibri"/>
          <w:color w:val="auto"/>
          <w:lang w:val="en-US" w:eastAsia="en-US"/>
        </w:rPr>
        <w:instrText>ADDIN CSL_CITATION {"citationItems":[{"id":"ITEM-1","itemData":{"author":[{"dropping-particle":"","family":"Pinatih","given":"Sri Ayu Cahya","non-dropping-particle":"","parse-names":false,"suffix":""}],"id":"ITEM-1","issued":{"date-parts":[["2021"]]},"publisher":"Universitas Pendidikan Ganesha","title":"Pengembangan Media Pembelajaran Komik Digital Berbasis Pendekatan Saintifik pada Muatan IPA Kelas V di SD N 2 Gianyar Tahun Ajaran 2020/2021","type":"article"},"uris":["http://www.mendeley.com/documents/?uuid=b5c7ea4d-de57-43ea-a17b-5722b822b48e","http://www.mendeley.com/documents/?uuid=28ca5726-9ccf-4cb3-997b-c72e194fd9e7"]}],"mendeley":{"formattedCitation":"(Pinatih, 2021)","plainTextFormattedCitation":"(Pinatih, 2021)","previouslyFormattedCitation":"(Pinatih, 2021)"},"properties":{"noteIndex":0},"schema":"https://github.com/citation-style-language/schema/raw/master/csl-citation.json"}</w:instrText>
      </w:r>
      <w:r w:rsidR="0091554A" w:rsidRPr="0091554A">
        <w:rPr>
          <w:rFonts w:eastAsia="Calibri"/>
          <w:color w:val="auto"/>
          <w:lang w:val="en-US" w:eastAsia="en-US"/>
        </w:rPr>
        <w:fldChar w:fldCharType="separate"/>
      </w:r>
      <w:r w:rsidR="0091554A" w:rsidRPr="0091554A">
        <w:rPr>
          <w:rFonts w:eastAsia="Calibri"/>
          <w:noProof/>
          <w:color w:val="auto"/>
          <w:lang w:val="en-US" w:eastAsia="en-US"/>
        </w:rPr>
        <w:t>(Pinatih, 2021)</w:t>
      </w:r>
      <w:r w:rsidR="0091554A" w:rsidRPr="0091554A">
        <w:rPr>
          <w:rFonts w:eastAsia="Calibri"/>
          <w:color w:val="auto"/>
          <w:lang w:eastAsia="en-US"/>
        </w:rPr>
        <w:fldChar w:fldCharType="end"/>
      </w:r>
      <w:r w:rsidR="0091554A" w:rsidRPr="0091554A">
        <w:rPr>
          <w:rFonts w:eastAsia="Calibri"/>
          <w:color w:val="auto"/>
          <w:lang w:val="en-US" w:eastAsia="en-US"/>
        </w:rPr>
        <w:t xml:space="preserve">. </w:t>
      </w:r>
      <w:r w:rsidRPr="00650A5C">
        <w:rPr>
          <w:rFonts w:eastAsia="Calibri"/>
          <w:color w:val="auto"/>
          <w:lang w:val="en-US" w:eastAsia="en-US"/>
        </w:rPr>
        <w:t xml:space="preserve">Natural sciences, sometimes known as science, is one of the courses taught at this level of school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{"citationItems":[{"id":"ITEM-1","itemData":{"DOI":"10.15294/jpii.v11i3.30631","ISSN":"20894392","abstract":"This study aims to describe the problem-based learning and collaboration model on science learning in elementary schools in the Industrial Revolution era 4.0 and Indonesia Society 5.0. This research is qualitative and descriptive. Data collection activities at the preliminary stage are carried out by exploring elementary school teachers’ perceptions of problem-based learning and its application in science learning in schools in Surakarta, Indonesia. Focus group discussions (FGD) were conducted on 20 elementary school teachers employing the open inquiry method. The discussion reviewed several topics related to the teachers’ perception of the problem-based learning application, the advantages and disadvantages of problem-based learning as the basis for modifying the learning model, and the importance of collaboration skills for elementary school students. The problem-based learningcollaboration (PBL-C) model is a development of the problem-based learning model, which is equipped with collaborative skill indicators from the Industrial Revolution 4.0 aspects and coordination indicators with various parties from Indonesia Society 5.0 aspects. The result of this research is the problem-based learning-collaboration (PBL-C) model design with six steps: (1) orientation of students to problems, (2) organizing students for learning and division of tasks, (3) guiding investigations on local community leaders, (4) proving the results of the investigation, (5) developing and presenting the work, and (6) analyzing and evaluating the problem-solving process.","author":[{"dropping-particle":"","family":"Sajidan","given":"","non-dropping-particle":"","parse-names":false,"suffix":""},{"dropping-particle":"","family":"Suranto","given":"","non-dropping-particle":"","parse-names":false,"suffix":""},{"dropping-particle":"","family":"Atmojo","given":"I. R.W.","non-dropping-particle":"","parse-names":false,"suffix":""},{"dropping-particle":"","family":"Saputri","given":"D. Y.","non-dropping-particle":"","parse-names":false,"suffix":""},{"dropping-particle":"","family":"Etviana","given":"R.","non-dropping-particle":"","parse-names":false,"suffix":""}],"container-title":"Jurnal Pendidikan IPA Indonesia","id":"ITEM-1","issue":"3","issued":{"date-parts":[["2022"]]},"page":"477-488","title":"Problem-Based Learning-Collaboration (Pbl-C) Model in Elementary School Science Learning in the Industrial Revolution Era 4.0 and Indonesia Society 5.0","type":"article-journal","volume":"11"},"uris":["http://www.mendeley.com/documents/?uuid=b5ac4719-15f7-4641-b8b7-1ac89526eb04"]},{"id":"ITEM-2","itemData":{"DOI":"10.1016/j.yjoc.2021.100013","ISSN":"27133745","abstract":"Research-based projects are conventionally regarded as the capstone of an undergraduate degree. These projects combine what students have learned in their coursework with the undertaking of small, independent research projects. We advocate engaging students towards completing their final research projects from their very first year in science and engineering studies in stimulating their creativity and innovation. Here we argue that this revolution of early directing choices and early commencement of work towards the thesis can potentially impact students' thoughtful selection of core courses that are relevant; provide appropriate grounding for undertaking useful research; swiftly and effectively answer their practical research questions and make the student placement-ready. To this end, we propose an Innovation-Based Learning (InnBL) framework for turning science and engineering degree programmes toward a culture of innovation in an era of Industry 4.0. We explore the pros and cons of InnBL if implemented and the implications for the student, institution, and society.","author":[{"dropping-particle":"","family":"Mandumpal","given":"Jestin Baby","non-dropping-particle":"","parse-names":false,"suffix":""},{"dropping-particle":"","family":"Ferdinand-James","given":"Debra Sharon","non-dropping-particle":"","parse-names":false,"suffix":""},{"dropping-particle":"","family":"Ziarati","given":"Parisa","non-dropping-particle":"","parse-names":false,"suffix":""},{"dropping-particle":"","family":"Hussein","given":"Emad Kamil","non-dropping-particle":"","parse-names":false,"suffix":""},{"dropping-particle":"","family":"Umachandran","given":"Krishnan","non-dropping-particle":"","parse-names":false,"suffix":""},{"dropping-particle":"","family":"Kennedy","given":"Ian G.","non-dropping-particle":"","parse-names":false,"suffix":""}],"container-title":"Journal of Creativity","id":"ITEM-2","issue":"1","issued":{"date-parts":[["2022"]]},"page":"100013","publisher":"Elsevier Ltd","title":"Innovation-based learning (InnBL): Turning science and engineering undergraduate degree programmes towards innovation","type":"article-journal","volume":"32"},"uris":["http://www.mendeley.com/documents/?uuid=edd084c1-15c3-40a6-b14d-f8f0515a65b6"]},{"id":"ITEM-3","itemData":{"DOI":"10.33225/balticste/2021.105","abstract":"This study describes a research focused on primary teachers’ evaluation of their students’ digital literacy as a basic competence in the structure of natural science literacy of research and comprehension competence. With the term, primary teachers we mean teachers of first three grades of compulsory school. The comparison of basic computer skills between Generation Z and Generation Alpha revealed, contrary to expectations, a very small progress. The consequence of this circumstance are the problems associated with the implementation of natural science curricular goals in digital environments of remote teaching in school closure period. A questionnaire given to 176 primary teachers, revealed which digital learning environments could be chosen for science lessons and which curricular goals could/could not be achieved with this level of Generation Alpha students’ digital literacy competence. The results showed that the digital environment is more problematic and unfavorable for Generation Alpha in the field of natural science, as teachers showed a higher frequency of avoiding natural science goals than social science content. Keywords: distance learning environment, generation Alpha, natural science digital literacy competence, natural science education","author":[{"dropping-particle":"","family":"Legvart","given":"Polona","non-dropping-particle":"","parse-names":false,"suffix":""},{"dropping-particle":"","family":"Kordigel Aberšek","given":"Metka","non-dropping-particle":"","parse-names":false,"suffix":""},{"dropping-particle":"","family":"Kerneža","given":"Maja","non-dropping-particle":"","parse-names":false,"suffix":""}],"container-title":"Proceedings of the 4th International Baltic Symposium on Science and Technology Education, BalticSTE2021","id":"ITEM-3","issued":{"date-parts":[["2021"]]},"page":"105-114","title":"Primary School Students’ Natural Science Digital Literacy Competence in Digital Learning Environments","type":"paper-conference"},"uris":["http://www.mendeley.com/documents/?uuid=1f152cba-74cc-4852-a71a-404377676755"]}],"mendeley":{"formattedCitation":"(Legvart et al., 2021; Mandumpal et al., 2022; Sajidan et al., 2022)","plainTextFormattedCitation":"(Legvart et al., 2021; Mandumpal et al., 2022; Sajidan et al., 2022)","previouslyFormattedCitation":"(Legvart et al., 2021; Mandumpal et al., 2022; Sajidan et al., 2022)"},"properties":{"noteIndex":0},"schema":"https://github.com/citation-style-language/schema/raw/master/csl-citation.json"}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(Legvart et al., 2021; Mandumpal et al., 2022; Sajidan et al., 2022)</w:t>
      </w:r>
      <w:r w:rsidR="00C365A6">
        <w:rPr>
          <w:rFonts w:eastAsia="Calibri"/>
          <w:color w:val="auto"/>
          <w:lang w:val="en-US" w:eastAsia="en-US"/>
        </w:rPr>
        <w:fldChar w:fldCharType="end"/>
      </w:r>
      <w:r w:rsidR="0091554A" w:rsidRPr="0091554A">
        <w:rPr>
          <w:rFonts w:eastAsia="Calibri"/>
          <w:color w:val="auto"/>
          <w:lang w:val="en-US" w:eastAsia="en-US"/>
        </w:rPr>
        <w:t xml:space="preserve">. </w:t>
      </w:r>
      <w:r w:rsidR="00705C9E" w:rsidRPr="00705C9E">
        <w:rPr>
          <w:rFonts w:eastAsia="Calibri"/>
          <w:color w:val="auto"/>
          <w:lang w:val="en-US" w:eastAsia="en-US"/>
        </w:rPr>
        <w:t xml:space="preserve">According to </w:t>
      </w:r>
      <w:proofErr w:type="spellStart"/>
      <w:r w:rsidR="00705C9E" w:rsidRPr="00705C9E">
        <w:rPr>
          <w:rFonts w:eastAsia="Calibri"/>
          <w:color w:val="auto"/>
          <w:lang w:val="en-US" w:eastAsia="en-US"/>
        </w:rPr>
        <w:t>Permendikbud</w:t>
      </w:r>
      <w:proofErr w:type="spellEnd"/>
      <w:r w:rsidR="00705C9E" w:rsidRPr="00705C9E">
        <w:rPr>
          <w:rFonts w:eastAsia="Calibri"/>
          <w:color w:val="auto"/>
          <w:lang w:val="en-US" w:eastAsia="en-US"/>
        </w:rPr>
        <w:t xml:space="preserve"> Number 57 of 2014 Article 5 Paragraph 2 concerning the fundamental ideas of science lessons in elementary schools, Group A general subjects, as mentioned in Paragraph (1), is a curriculum that aims to develop students' attitude competence, knowledge competence, and skills competence as the basis and strengthening of abilities in the life of society, nation, and state. According to the </w:t>
      </w:r>
      <w:proofErr w:type="spellStart"/>
      <w:r w:rsidR="00705C9E" w:rsidRPr="00705C9E">
        <w:rPr>
          <w:rFonts w:eastAsia="Calibri"/>
          <w:color w:val="auto"/>
          <w:lang w:val="en-US" w:eastAsia="en-US"/>
        </w:rPr>
        <w:t>Permendikbud</w:t>
      </w:r>
      <w:proofErr w:type="spellEnd"/>
      <w:r w:rsidR="00705C9E" w:rsidRPr="00705C9E">
        <w:rPr>
          <w:rFonts w:eastAsia="Calibri"/>
          <w:color w:val="auto"/>
          <w:lang w:val="en-US" w:eastAsia="en-US"/>
        </w:rPr>
        <w:t xml:space="preserve"> above, what is indicated by paragraph (1) is the grouping of general subjects, one of which is Natural Sciences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ISBN":"978-979-26-8579-4","author":[{"dropping-particle":"","family":"Suranto","given":"","non-dropping-particle":"","parse-names":false,"suffix":""}],"editor":[{"dropping-particle":"","family":"Mutrofin","given":"","non-dropping-particle":"","parse-names":false,"suffix":""}],"id":"ITEM-1","issued":{"date-parts":[["2015"]]},"publisher":"LaksBang PRESSindo Yogyakarta","publisher-place":"Yogyakarta","title":"Teori Belajar &amp; Pembelajaran Kontenporer","type":"book"},"uris":["http://www.mendeley.com/documents/?uuid=a3ae371a-f7d4-4aea-8de6-26bd76035eb7"]}],"mendeley":{"formattedCitation":"(Suranto, 2015)","plainTextFormattedCitation":"(Suranto, 2015)","previouslyFormattedCitation":"(Suranto, 2015)"},"properties":{"noteIndex":0},"schema":"https://github.com/citation-style-language/schema/raw/master/csl-citation.json"}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(Suranto, 2015)</w:t>
      </w:r>
      <w:r w:rsidR="00C365A6">
        <w:rPr>
          <w:rFonts w:eastAsia="Calibri"/>
          <w:color w:val="auto"/>
          <w:lang w:val="en-US" w:eastAsia="en-US"/>
        </w:rPr>
        <w:fldChar w:fldCharType="end"/>
      </w:r>
      <w:r w:rsidR="0091554A" w:rsidRPr="0091554A">
        <w:rPr>
          <w:rFonts w:eastAsia="Calibri"/>
          <w:color w:val="auto"/>
          <w:lang w:val="en-US" w:eastAsia="en-US"/>
        </w:rPr>
        <w:t xml:space="preserve">. </w:t>
      </w:r>
      <w:r w:rsidR="00705C9E" w:rsidRPr="00705C9E">
        <w:rPr>
          <w:rFonts w:eastAsia="Calibri"/>
          <w:color w:val="auto"/>
          <w:lang w:val="en-US" w:eastAsia="en-US"/>
        </w:rPr>
        <w:t>According to the aforementioned statement, the natural sciences are a subject area in the 2013 Curriculum that is crucial for the development of three components, namely knowledge, attitudes, and skills, since these three qualities are required for students to parti</w:t>
      </w:r>
      <w:r w:rsidR="00705C9E">
        <w:rPr>
          <w:rFonts w:eastAsia="Calibri"/>
          <w:color w:val="auto"/>
          <w:lang w:val="en-US" w:eastAsia="en-US"/>
        </w:rPr>
        <w:t xml:space="preserve">cipate in the learning process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{"citationItems":[{"id":"ITEM-1","itemData":{"abstract":"Penelitian ini bertujuan untuk mengetahui tingkat keterampilan berpikir kreatif fisika pada peserta didik kelas XI IPA 1 SMA Negeri 2 Bua Ponrang. Jenis penelitian yaitu merupakan penelitian survei (Ex Post Facto) yang bersifat deskriptif untuk memperoleh data kuantitatif karena peneliti tidak memberikan perlakuan kepada responden sehingga penelitian ini hanya mengungkap variabel itu apa adanya tanpa menghubungkan dengan variabel lain. Adapun populasi dalam penelitian ini adalah seluruh peserta didik kelas XI IPA SMA Negeri 2 Bua Ponrang tahun ajaran 2015/2016 dan sampelnya dipilih secara kelompok dengan pengambilan kelas secara utuh yaitu kelas XI IPA 1 SMA Negeri 2 Bua Ponrang yang berjumlah 32 peserta didik dengan 8 laki-laki dan 24 perempuan yang menjadi sampel dalam penelitian ini. Instrumen penelitian yang digunakan adalah tes keterampilan berpikir kreatif fisika yang telah valid untuk digunakan. Hasil analisis deskriptif menunjukkan bahwa skor rata-rata keterampilan berpikir kreatif fisika peserta didik kelas XI IPA 1 SMA Negeri 2 Bua Ponrang berada dalam rentang kategori rendah dengan persentase 46,88%. Adapun hasil analisis untuk setiap indikator keterampilan berpikir kreatif fisika menunjukkan bahwa indikator yang paling menonjol adalah menemukan sebab-sebab dengan skor rata-rata yaitu 2,70 dan indikator yang paling rendah adalah menerka akibat dari suatu kejadian dengan skor rata-rata yaitu 0,95 dibandingkan dengan indikator yang lainnya. Sehingga dapat disimpulkan bahwa tingkat keterampilan berpikir kreatif fisika pada peserta didik kelas XI IPA 1 SMA Negeri 2 Bua Ponrang masih rendah.","author":[{"dropping-particle":"","family":"Nurlaila","given":"D","non-dropping-particle":"","parse-names":false,"suffix":""},{"dropping-particle":"","family":"Tawil","given":"Muh.","non-dropping-particle":"","parse-names":false,"suffix":""},{"dropping-particle":"","family":"Haris","given":"Abdul","non-dropping-particle":"","parse-names":false,"suffix":""}],"container-title":"Jurnal Pendidikan Fisika Universitas Muhammadiyah Makassar","id":"ITEM-1","issue":"1","issued":{"date-parts":[["2016"]]},"page":"127-144","title":"Analisis Keterampilan Berpikir Kreatif Fisika Pada Peserta Didik Kelas XI IPA 1 SMA Negeri 2 Bua Ponrang","type":"article-journal","volume":"4"},"uris":["http://www.mendeley.com/documents/?uuid=5ca9acbb-6bb0-41ed-ad2e-938949ed1cc0"]},{"id":"ITEM-2","itemData":{"abstract":"Page 1. Jurnal Elementaria Edukasia Volume 3 No 1 Tahun 2020 p-ISSN 2615-4625 e-ISSN 2655-0857 109 Pengembangan Modul Praktikum IPA Berbasis Kurikulum 2013 Untuk Mahasiswa Pendidikan Guru Sekolah Dasar 1Rizki Umi Nurbaeti, 2Diah Sunarsih …","author":[{"dropping-particle":"","family":"Nurbaeti","given":"R U","non-dropping-particle":"","parse-names":false,"suffix":""}],"container-title":"Jurnal Elementaria Edukasia","id":"ITEM-2","issue":"1","issued":{"date-parts":[["2020"]]},"page":"109-116","title":"Pengembangan Modul Praktikum IPA Berbasis Kurikulum 2013 untuk Mahasiswa Pendidikan Guru Sekolah Dasar","type":"article-journal","volume":"3"},"uris":["http://www.mendeley.com/documents/?uuid=36bc2ecd-54ad-4003-a1d0-8e9f9a69f1de"]},{"id":"ITEM-3","itemData":{"DOI":"10.24905/psej.v2i2.746","ISSN":"2528-6714","abstract":" Pemanfaatan komputer sebagai media pembelajaran dalam bentuk multimedia interaktif merupakan salah satu pendekatan pembelajaran yang mendukung kemajuan teknologi. Penelitian ini bertujuan mendeskripsikan karakteristik dan menganalisis multimedia interaktif  bervisi SETS model PBL yang efektif meningkatkan kemampuan berpikir kritis dan keterampilan sosial. Penelitian ini merupakan penelitian pengembangan. Produk yang dikembangkan divalidasikan untuk selanjutnya direvisi dan diimplementasikan. Subyek penelitian peserta didik kelas VIII SMP Negeri 7 Tegal Tahun Pelajaran 2016/2017.Hasil penelitian menunjukkan tingkat kevalidan terhadap perangkat pembelajaran 88,33% dan multimedia interaktif yang dikembangkan 79,37%. Tingkat keefektifan ditunjukkan adanya peningkatan kemampuan berpikir kritis kelas eksperimen dan nilai N-gain mencapai 0,59 dengan kategori sedang. Keterampilan sosial peserta didik sebesar 84,50% dengan kriteria baik. Tingkat kepraktisan ditunjukkan dengan respon guru dan peserta didik sangat positif terhadap produk yang dikembangkan. Simpulan dari penelitian ini, perangkat pembelajaran valid, efektif, dan praktis digunakan sebagai alat bantu model PBL serta dapat meningkatkan kemampuan berpikir kritis dan keterampilan sosial pada kelas eksperimen.Kata Kunci: PBL, multimedia interaktif, kemampuan berpikir kritis, keterampilan sosial.","author":[{"dropping-particle":"","family":"Oktaviani","given":"Pratiwi","non-dropping-particle":"","parse-names":false,"suffix":""},{"dropping-particle":"","family":"Hartono","given":"Hartono","non-dropping-particle":"","parse-names":false,"suffix":""},{"dropping-particle":"","family":"Marwoto","given":"Putut","non-dropping-particle":"","parse-names":false,"suffix":""}],"container-title":"PSEJ (Pancasakti Science Education Journal)","id":"ITEM-3","issue":"2","issued":{"date-parts":[["2017"]]},"page":"125","title":"Pengembangan Multimedia Interaktif Bervisi SETS sebagai Alat Bantu Model Problem Based Learning (PBL) dalam Pembelajaran IPA di SMP untuk Meningkatkan Kemampuan Berpikir Kritis dan Keterampilan Sosial Peserta Didik","type":"article-journal","volume":"2"},"uris":["http://www.mendeley.com/documents/?uuid=599ed777-fe5b-45ca-bdc6-c9f1a92b96b3"]}],"mendeley":{"formattedCitation":"(Nurbaeti, 2020; Nurlaila et al., 2016; Oktaviani et al., 2017)","plainTextFormattedCitation":"(Nurbaeti, 2020; Nurlaila et al., 2016; Oktaviani et al., 2017)","previouslyFormattedCitation":"(Nurbaeti, 2020; Nurlaila et al., 2016; Oktaviani et al., 2017)"},"properties":{"noteIndex":0},"schema":"https://github.com/citation-style-language/schema/raw/master/csl-citation.json"}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(Nurbaeti, 2020; Nurlaila et al., 2016; Oktaviani et al., 2017)</w:t>
      </w:r>
      <w:r w:rsidR="00C365A6">
        <w:rPr>
          <w:rFonts w:eastAsia="Calibri"/>
          <w:color w:val="auto"/>
          <w:lang w:val="en-US" w:eastAsia="en-US"/>
        </w:rPr>
        <w:fldChar w:fldCharType="end"/>
      </w:r>
      <w:r w:rsidR="0091554A" w:rsidRPr="0091554A">
        <w:rPr>
          <w:rFonts w:eastAsia="Calibri"/>
          <w:color w:val="auto"/>
          <w:lang w:val="en-US" w:eastAsia="en-US"/>
        </w:rPr>
        <w:t>.</w:t>
      </w:r>
    </w:p>
    <w:p w:rsidR="0091554A" w:rsidRDefault="00705C9E" w:rsidP="0091554A">
      <w:pPr>
        <w:spacing w:after="0" w:line="360" w:lineRule="auto"/>
        <w:ind w:left="0" w:firstLine="567"/>
        <w:rPr>
          <w:rFonts w:eastAsia="Calibri"/>
          <w:color w:val="auto"/>
          <w:lang w:val="en-US" w:eastAsia="en-US"/>
        </w:rPr>
      </w:pPr>
      <w:r w:rsidRPr="00705C9E">
        <w:rPr>
          <w:rFonts w:eastAsia="Calibri"/>
          <w:color w:val="auto"/>
          <w:lang w:val="en-US" w:eastAsia="en-US"/>
        </w:rPr>
        <w:t>One of the primary themes in elementary school curricula is the</w:t>
      </w:r>
      <w:r>
        <w:rPr>
          <w:rFonts w:eastAsia="Calibri"/>
          <w:color w:val="auto"/>
          <w:lang w:val="en-US" w:eastAsia="en-US"/>
        </w:rPr>
        <w:t xml:space="preserve"> Natural Sciences teaching unit</w:t>
      </w:r>
      <w:r w:rsidR="00C365A6">
        <w:rPr>
          <w:rFonts w:eastAsia="Calibri"/>
          <w:color w:val="auto"/>
          <w:lang w:val="en-US" w:eastAsia="en-US"/>
        </w:rPr>
        <w:t xml:space="preserve">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{"citationItems":[{"id":"ITEM-1","itemData":{"DOI":"10.1007/s40670-022-01613-x","ISBN":"0123456789","ISSN":"21568650","abstract":"In veterinary education, data from biomedical or natural sciences are mostly presented in the form of static or animated graphics with no or little amount of interactivity. These kinds of presentations are, however, often not sufficient to depict the complexity of the data or the presented topic. Interactive graphics, which allow to dynamically change data and related graphics, have rarely been considered as teaching tool in higher education of biomedical disciplines for veterinary education so far. In order to study the applicability and the usefulness of interactive graphics in biomedical disciplines for lecturers and students in veterinary education, three different courses from biomedical disciplines were exemplarily implemented as interactive graphics and evaluated in a pilot study by a survey amongst lecturers and students of our university. The interactive graphics were built using the Shiny environment, a web-based application framework for the statistic software R. The survey amongst lecturers and students was based on questionnaires covering questions on the handling and usefulness of the digital teaching tools. In total, n = 327 students and n = 5 lecturers participated in the evaluation study which revealed that the interactive graphics are easy to handle for lecturers and students, and that they can increase the motivation for either teaching or learning. In total, 71% of the students affirmed that interactive graphics led to an increased interest for the presented contents and 76% expressed the wish to get taught more topics with interactive graphics. We also provide a workflow that can be used as a guideline to develop interactive graphics.","author":[{"dropping-particle":"","family":"Liebig","given":"Pamela","non-dropping-particle":"","parse-names":false,"suffix":""},{"dropping-particle":"","family":"Pröhl","given":"Heike","non-dropping-particle":"","parse-names":false,"suffix":""},{"dropping-particle":"","family":"Sudhaus-Jörn","given":"Nadine","non-dropping-particle":"","parse-names":false,"suffix":""},{"dropping-particle":"","family":"Hankel","given":"Julia","non-dropping-particle":"","parse-names":false,"suffix":""},{"dropping-particle":"","family":"Visscher","given":"Christian","non-dropping-particle":"","parse-names":false,"suffix":""},{"dropping-particle":"","family":"Jung","given":"Klaus","non-dropping-particle":"","parse-names":false,"suffix":""}],"container-title":"Medical Science Educator","id":"ITEM-1","issue":"6","issued":{"date-parts":[["2022"]]},"page":"1323-1335","publisher":"Springer US","title":"Interactive, Browser-Based Graphics to Visualize Complex Data in Education of Biomedical Sciences for Veterinary Students","type":"article-journal","volume":"32"},"uris":["http://www.mendeley.com/documents/?uuid=567fc177-476a-4003-9520-a3b613aa62b4"]},{"id":"ITEM-2","itemData":{"DOI":"10.33225/balticste/2021.105","abstract":"This study describes a research focused on primary teachers’ evaluation of their students’ digital literacy as a basic competence in the structure of natural science literacy of research and comprehension competence. With the term, primary teachers we mean teachers of first three grades of compulsory school. The comparison of basic computer skills between Generation Z and Generation Alpha revealed, contrary to expectations, a very small progress. The consequence of this circumstance are the problems associated with the implementation of natural science curricular goals in digital environments of remote teaching in school closure period. A questionnaire given to 176 primary teachers, revealed which digital learning environments could be chosen for science lessons and which curricular goals could/could not be achieved with this level of Generation Alpha students’ digital literacy competence. The results showed that the digital environment is more problematic and unfavorable for Generation Alpha in the field of natural science, as teachers showed a higher frequency of avoiding natural science goals than social science content. Keywords: distance learning environment, generation Alpha, natural science digital literacy competence, natural science education","author":[{"dropping-particle":"","family":"Legvart","given":"Polona","non-dropping-particle":"","parse-names":false,"suffix":""},{"dropping-particle":"","family":"Kordigel Aberšek","given":"Metka","non-dropping-particle":"","parse-names":false,"suffix":""},{"dropping-particle":"","family":"Kerneža","given":"Maja","non-dropping-particle":"","parse-names":false,"suffix":""}],"container-title":"Proceedings of the 4th International Baltic Symposium on Science and Technology Education, BalticSTE2021","id":"ITEM-2","issued":{"date-parts":[["2021"]]},"page":"105-114","title":"Primary School Students’ Natural Science Digital Literacy Competence in Digital Learning Environments","type":"paper-conference"},"uris":["http://www.mendeley.com/documents/?uuid=1f152cba-74cc-4852-a71a-404377676755"]},{"id":"ITEM-3","itemData":{"DOI":"10.3390/su15032509","ISSN":"20711050","abstract":"This study explored the effects of the integration of tabletop games in natural science and environmental education courses on students’ learning motivation and learning effectiveness. Four tabletop games were designed and integrated in educational programs, and 100 fifth-grade students at an elementary school in Taiwan participated in the study. Participants were divided into experimental and control groups. The former received an instructional program with tabletop games; the latter was the original program. Both groups had received the instructions for the two units of the natural science course for eight weeks. Furthermore, participants’ academic performance results were collected to investigate the effects of tabletop games on their learning effectiveness. This study has shown that integration of tabletop game in the natural science course significantly improved students’ learning attention. While the academic performance of the experimental group improved, the standard deviation decreased. In addition, qualitative data indicated the high acceptability of tabletop games integration in courses. Tabletop games integration in courses might also enhance different learning motivational dimensions. The findings of the integration of tabletop games might be beneficial to educational curriculum-specific pedagogy.","author":[{"dropping-particle":"","family":"Lin","given":"Chao Yen","non-dropping-particle":"","parse-names":false,"suffix":""},{"dropping-particle":"","family":"Lin","given":"Hsiao Hsien","non-dropping-particle":"","parse-names":false,"suffix":""},{"dropping-particle":"","family":"Ting","given":"Kuo Chiang","non-dropping-particle":"","parse-names":false,"suffix":""},{"dropping-particle":"","family":"Shen","given":"Chih Chien","non-dropping-particle":"","parse-names":false,"suffix":""},{"dropping-particle":"","family":"Lo","given":"Chih Cheng","non-dropping-particle":"","parse-names":false,"suffix":""},{"dropping-particle":"","family":"Hung","given":"Hsiu Chu","non-dropping-particle":"","parse-names":false,"suffix":""},{"dropping-particle":"","family":"Tsai","given":"Li Ju","non-dropping-particle":"","parse-names":false,"suffix":""}],"container-title":"Sustainability (Switzerland)","id":"ITEM-3","issue":"3","issued":{"date-parts":[["2023"]]},"title":"A Study on the Influence of Recreational Activities Intervening in Natural Science Courses on Learning Motivation and Learning Outcomes—The Case of Tabletop Games","type":"article-journal","volume":"15"},"uris":["http://www.mendeley.com/documents/?uuid=7e5ca0c1-6ce0-4f66-a145-675f50f7b448"]},{"id":"ITEM-4","itemData":{"DOI":"10.3390/e25020292","ISSN":"10994300","abstract":"Constitutive relations are fundamental and essential to characterize physical systems. By utilizing the (Formula presented.) -deformed functions, some constitutive relations are generalized. We here show some applications of the Kaniadakis distributions, based on the inverse hyperbolic sine function, to some topics belonging to the realm of statistical physics and natural science.","author":[{"dropping-particle":"","family":"Wada","given":"Tatsuaki","non-dropping-particle":"","parse-names":false,"suffix":""},{"dropping-particle":"","family":"Scarfone","given":"Antonio Maria","non-dropping-particle":"","parse-names":false,"suffix":""}],"container-title":"Entropy","id":"ITEM-4","issue":"2","issued":{"date-parts":[["2023"]]},"page":"1-13","title":"On the Kaniadakis Distributions Applied in Statistical Physics and Natural Sciences","type":"article-journal","volume":"25"},"uris":["http://www.mendeley.com/documents/?uuid=70cfc96c-9da0-46a8-8fb3-628f2d96cfe1"]},{"id":"ITEM-5","itemData":{"DOI":"10.26803/ijlter.21.10.13","ISSN":"16942116","abstract":"This paper investigated how graduating Natural Science preservice teachers were able to integrate the principles of Transformative Pedagogy in their lesson-plan designs. The study draws on the theoretical tenets of Transformative Pedagogy, a form of pedagogy that combines social constructivism and critical theory, in order to teach for equity and equality. The study was qualitative in nature; it and made use of a documentary analytical method to respond to the primary research question: how do graduating Natural Science pre-service teachers integrate the principles of Transformative Pedagogy in their lesson-plan designs? To respond to this primary research question, descriptive text that derived from the purposely selected sample of lesson-plan designs of the pre-service teachers was analysed. An analysis of the three-lesson plan designs revealed that the principles of Transformative Pedagogy, namely the \"prompting of learners' critical consciousness about social issues\", \"the existence of open-dialogue amongst learners\"and \"learners' engagement in educational collaborative practices\"were thoughtfully considered and integrated within the lesson-plan designs. Based on the findings, this study holds a series of implications for future research in the scholarship of pre-service teacher development, especially in the field of science education. Given the ideals of Transformative Pedagogy, future research could focus on the capability of pre-service teachers to infuse the principles of Transformative Pedagogy in other science-related school subjects, such as Physical science and Chemistry teaching. Future research could also perhaps explore how pre-service teachers experience the integration of Transformative Pedagogy in their lessons.","author":[{"dropping-particle":"","family":"Botes","given":"Wiets","non-dropping-particle":"","parse-names":false,"suffix":""},{"dropping-particle":"","family":"Barnett","given":"Emma","non-dropping-particle":"","parse-names":false,"suffix":""}],"container-title":"International Journal of Learning, Teaching and Educational Research","id":"ITEM-5","issue":"10","issued":{"date-parts":[["2022"]]},"page":"249-264","title":"The Analysis of Natural Science Lesson-Plans Integrating the Principles of Transformative Pedagogy","type":"article-journal","volume":"21"},"uris":["http://www.mendeley.com/documents/?uuid=df7e7208-7904-41b4-9f0d-2c368b10fbc1"]}],"mendeley":{"formattedCitation":"(Botes &amp; Barnett, 2022; Legvart et al., 2021; Liebig et al., 2022; Lin et al., 2023; Wada &amp; Scarfone, 2023)","plainTextFormattedCitation":"(Botes &amp; Barnett, 2022; Legvart et al., 2021; Liebig et al., 2022; Lin et al., 2023; Wada &amp; Scarfone, 2023)","previouslyFormattedCitation":"(Botes &amp; Barnett, 2022; Legvart et al., 2021; Liebig et al., 2022; Lin et al., 2023; Wada &amp; Scarfone, 2023)"},"properties":{"noteIndex":0},"schema":"https://github.com/citation-style-language/schema/raw/master/csl-citation.json"}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(Botes &amp; Barnett, 2022; Legvart et al., 2021; Liebig et al., 2022; Lin et al., 2023; Wada &amp; Scarfone, 2023)</w:t>
      </w:r>
      <w:r w:rsidR="00C365A6">
        <w:rPr>
          <w:rFonts w:eastAsia="Calibri"/>
          <w:color w:val="auto"/>
          <w:lang w:val="en-US" w:eastAsia="en-US"/>
        </w:rPr>
        <w:fldChar w:fldCharType="end"/>
      </w:r>
      <w:r w:rsidR="0091554A" w:rsidRPr="0091554A">
        <w:rPr>
          <w:rFonts w:eastAsia="Calibri"/>
          <w:color w:val="auto"/>
          <w:lang w:val="en-US" w:eastAsia="en-US"/>
        </w:rPr>
        <w:t xml:space="preserve">. </w:t>
      </w:r>
      <w:r w:rsidR="00194831" w:rsidRPr="00194831">
        <w:rPr>
          <w:rFonts w:eastAsia="Calibri"/>
          <w:color w:val="auto"/>
          <w:lang w:val="en-US" w:eastAsia="en-US"/>
        </w:rPr>
        <w:t xml:space="preserve">Therefore, it has to be taught in stages to produce a meaningful scientific learning process with high student accomplishment outcomes, therefore instructors must be creative and original </w:t>
      </w:r>
      <w:r w:rsidR="00194831">
        <w:rPr>
          <w:rFonts w:eastAsia="Calibri"/>
          <w:color w:val="auto"/>
          <w:lang w:val="en-US" w:eastAsia="en-US"/>
        </w:rPr>
        <w:t>in constructing learning models</w:t>
      </w:r>
      <w:r w:rsidR="0091554A" w:rsidRPr="0091554A">
        <w:rPr>
          <w:rFonts w:eastAsia="Calibri"/>
          <w:color w:val="auto"/>
          <w:lang w:val="en-US" w:eastAsia="en-US"/>
        </w:rPr>
        <w:t xml:space="preserve"> </w:t>
      </w:r>
      <w:r w:rsidR="0091554A" w:rsidRPr="0091554A">
        <w:rPr>
          <w:rFonts w:eastAsia="Calibri"/>
          <w:color w:val="auto"/>
          <w:lang w:val="en-US" w:eastAsia="en-US"/>
        </w:rPr>
        <w:fldChar w:fldCharType="begin" w:fldLock="1"/>
      </w:r>
      <w:r w:rsidR="00B115C2">
        <w:rPr>
          <w:rFonts w:eastAsia="Calibri"/>
          <w:color w:val="auto"/>
          <w:lang w:val="en-US" w:eastAsia="en-US"/>
        </w:rPr>
        <w:instrText>ADDIN CSL_CITATION {"citationItems":[{"id":"ITEM-1","itemData":{"ISBN":"6233480981","author":[{"dropping-particle":"","family":"Wijoyo","given":"Hadion","non-dropping-particle":"","parse-names":false,"suffix":""}],"id":"ITEM-1","issued":{"date-parts":[["2021"]]},"publisher":"Insan Cendekia Mandiri","title":"Manajemen Kurikulum","type":"book"},"uris":["http://www.mendeley.com/documents/?uuid=3dcff319-7e26-4657-9d3c-e0d47c32be39","http://www.mendeley.com/documents/?uuid=9eaa85c3-5fc6-407a-8af6-495e699fd6b3"]}],"mendeley":{"formattedCitation":"(Wijoyo, 2021)","plainTextFormattedCitation":"(Wijoyo, 2021)","previouslyFormattedCitation":"(Wijoyo, 2021)"},"properties":{"noteIndex":0},"schema":"https://github.com/citation-style-language/schema/raw/master/csl-citation.json"}</w:instrText>
      </w:r>
      <w:r w:rsidR="0091554A" w:rsidRPr="0091554A">
        <w:rPr>
          <w:rFonts w:eastAsia="Calibri"/>
          <w:color w:val="auto"/>
          <w:lang w:val="en-US" w:eastAsia="en-US"/>
        </w:rPr>
        <w:fldChar w:fldCharType="separate"/>
      </w:r>
      <w:r w:rsidR="0091554A" w:rsidRPr="0091554A">
        <w:rPr>
          <w:rFonts w:eastAsia="Calibri"/>
          <w:noProof/>
          <w:color w:val="auto"/>
          <w:lang w:val="en-US" w:eastAsia="en-US"/>
        </w:rPr>
        <w:t>(Wijoyo, 2021)</w:t>
      </w:r>
      <w:r w:rsidR="0091554A" w:rsidRPr="0091554A">
        <w:rPr>
          <w:rFonts w:eastAsia="Calibri"/>
          <w:color w:val="auto"/>
          <w:lang w:eastAsia="en-US"/>
        </w:rPr>
        <w:fldChar w:fldCharType="end"/>
      </w:r>
      <w:r w:rsidR="0091554A" w:rsidRPr="0091554A">
        <w:rPr>
          <w:rFonts w:eastAsia="Calibri"/>
          <w:color w:val="auto"/>
          <w:lang w:val="en-US" w:eastAsia="en-US"/>
        </w:rPr>
        <w:t xml:space="preserve">. </w:t>
      </w:r>
      <w:r w:rsidR="00194831" w:rsidRPr="00194831">
        <w:rPr>
          <w:rFonts w:eastAsia="Calibri"/>
          <w:color w:val="auto"/>
          <w:lang w:val="en-US" w:eastAsia="en-US"/>
        </w:rPr>
        <w:t>The interactions between students, instructors, the school environment, and other learning resources are incorporated into the learning activities to give learning experiences that include both mental and physical processes in order to d</w:t>
      </w:r>
      <w:r w:rsidR="00194831">
        <w:rPr>
          <w:rFonts w:eastAsia="Calibri"/>
          <w:color w:val="auto"/>
          <w:lang w:val="en-US" w:eastAsia="en-US"/>
        </w:rPr>
        <w:t xml:space="preserve">evelop fundamental competences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{"citationItems":[{"id":"ITEM-1","itemData":{"DOI":"10.1002/ece3.7303","ISSN":"20457758","abstract":"During the Spring Semester of 2020, an outbreak of a novel coronavirus (SARS-CoV-2) and the illnesses it caused (COVID-19) led to widespread cancelling of on-campus instruction at colleges and universities in the United States and other countries around the world. Response to the pandemic in university settings included a rapid and unexpected shift to online learning for faculty and students. The transition to teaching and learning online posed many challenges, and the experiences of students during this crisis may inform future planning for distance learning experiences during the ongoing pandemic and beyond. Herein, we discuss the experiences of first- and second-year university students enrolled in a biology seminar course as their classes migrated to online environments. Drawing on reported student experiences and prior research and resources, we discuss the ways we will adjust our own teaching for future iterations of the course while offering recommendations for instructors tasked with teaching in online environments.","author":[{"dropping-particle":"","family":"Humphrey","given":"Eve A.","non-dropping-particle":"","parse-names":false,"suffix":""},{"dropping-particle":"","family":"Wiles","given":"Jason R.","non-dropping-particle":"","parse-names":false,"suffix":""}],"container-title":"Ecology and Evolution","id":"ITEM-1","issue":"February","issued":{"date-parts":[["2021"]]},"page":"3450-3458","title":"Lessons learned through listening to biology students during a transition to online learning in the wake of the COVID-19 pandemic","type":"article-journal"},"uris":["http://www.mendeley.com/documents/?uuid=42f4ed39-cc04-4295-8959-5df566b4800e"]}],"mendeley":{"formattedCitation":"(Humphrey &amp; Wiles, 2021)","plainTextFormattedCitation":"(Humphrey &amp; Wiles, 2021)","previouslyFormattedCitation":"(Humphrey &amp; Wiles, 2021)"},"properties":{"noteIndex":0},"schema":"https://github.com/citation-style-language/schema/raw/master/csl-citation.json"}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(Humphrey &amp; Wiles, 2021)</w:t>
      </w:r>
      <w:r w:rsidR="00C365A6">
        <w:rPr>
          <w:rFonts w:eastAsia="Calibri"/>
          <w:color w:val="auto"/>
          <w:lang w:val="en-US" w:eastAsia="en-US"/>
        </w:rPr>
        <w:fldChar w:fldCharType="end"/>
      </w:r>
      <w:r w:rsidR="0091554A" w:rsidRPr="0091554A">
        <w:rPr>
          <w:rFonts w:eastAsia="Calibri"/>
          <w:color w:val="auto"/>
          <w:lang w:val="en-US" w:eastAsia="en-US"/>
        </w:rPr>
        <w:t xml:space="preserve">. </w:t>
      </w:r>
      <w:r w:rsidR="00194831" w:rsidRPr="00194831">
        <w:rPr>
          <w:rFonts w:eastAsia="Calibri"/>
          <w:color w:val="auto"/>
          <w:lang w:val="en-US" w:eastAsia="en-US"/>
        </w:rPr>
        <w:t xml:space="preserve">Different, student-centered learning models may be used to achieve the desired learning experience.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{"citationItems":[{"id":"ITEM-1","itemData":{"DOI":"10.21831/jipi.v5i1.18707","ISSN":"2406-9205","abstract":"Tujuan penelitian ini adalah untuk meningkatkan kemandirian belajar siswa dengan menerapkan model pembelajaaran problem based learning yang dibantu dengan media edmodo. Metode penelitian yang digunakan yaitu metode eksperimen dengan desain penelitian one grup pretest posttest. Subyek penelitian adalah siswa kelas XI penjurusan MIPA SMA Negeri 1 Demak tahun ajaran 2017/2018. Aspek kemandirian yang diteliti meliputi aspek persiapan, pelaksanaan, dan evaluasi. Teknik pengumpulan data menggunakan angket kemandirian belajar, wawancara terhadap siswa dengan kemandirian rendah, sedang, dan tinggi, angket respon siswa, dan lembar keterlaksanaan pembelajaran untuk mengetahui tingkat keefektifan penerapan model problem based learning berbantuan edmodo. Berdasarkan analisis hasil penelitian tingkat keefektifan pelaksanaan pembelajaran dengan model problem based learning berbantuan edmodo adalah 94,11%. Peningkatan kemandirian belajar diketahui dengan menggunakan uji n-gain didapatkan hasil sebesar 0,32 dengan kriteria sedang. Peningkatan kemandirian yang paling optimal terjadi pada indikator evaluasi kegiatan belajar dan penarikan kesimpulan pengalaman belajar. Sehingga dapat disimpulkan bahwa penggunaan aplikasi edmodo dalam pembelajaran dapat meningkatkan kemandirian belajar siswa. Efforts to increase student self-regulated learning with problem-based learning model use Edmodo AbstractThe purpose of this study is to improve students' self-regulated learning by applying model problem based learning use edmodo. The research method is experimental method with one group pretest posttest research design. The subjects of the study were the students of science class grade XI of SMA Negeri 1 Demak academic year 2017/2018. The aspects of self-regulated learning examined include aspects of preparation, implementation, and evaluation. Data collection techniques used questionnaire of self-regulated learning, interviews of students with low, middle, and high self-regulated learning, student response questionnaires, and learning activity sheet to determine the level of effectiveness of the implementation of problem-based learning model use edmodo. Based on the analysis of research results, the effectiveness level of learning implementation with problem based learning model use edmodo is 94.11%. Increased learning independence is known by using the n-gain test results obtained by 0.32 with middle criteria. The most optimal improvement of independence occurs in indicators of ev…","author":[{"dropping-particle":"","family":"Aulia","given":"Lisa Nur","non-dropping-particle":"","parse-names":false,"suffix":""},{"dropping-particle":"","family":"Susilo","given":"Susilo","non-dropping-particle":"","parse-names":false,"suffix":""},{"dropping-particle":"","family":"Subali","given":"Bambang","non-dropping-particle":"","parse-names":false,"suffix":""}],"container-title":"Jurnal Inovasi Pendidikan IPA","id":"ITEM-1","issue":"1","issued":{"date-parts":[["2019"]]},"page":"69-78","title":"Upaya peningkatan kemandirian belajar siswa dengan model problem-based learning berbantuan media Edmodo","type":"article-journal","volume":"5"},"uris":["http://www.mendeley.com/documents/?uuid=14bc3a11-f6b4-4ae4-affc-8002a8945394"]},{"id":"ITEM-2","itemData":{"abstract":"This study was aimed to determine the differences: (1) the difference of critical thinking skills of students' that using Inquiry Training and Direct Instruction. (2) The difference of critical thinking skills among students who at high scientific attitude and students who at low scientific attitude. (3) To see if there is interaction between inquiry learning model of Volume: the scientific attitude students' to increase the ability to critical thinking. This is a quasi experimental research. Which students of private junior high school Two Raya Kahean District Simalungun. Population choose random sample of each class. Instrument used consisted of: (1) test the scientific attitude of students through a questionnaire with 25 statements questionnaire number (2) test the critical thinking skills in the form of descriptions by 9 questions. The data were analyzed according to ANAVA. It showed that: (1) There are differences in students' critical thinking of skills achievement Inquiry Training model and Direct Instruction model, (2) there was a difference of students' critical thinking in scientific attitude at high is better than who thought there is a difference of students' critical thinking in scientific attitude at low. (3) There was no interaction between Inquiry Training model and Direct Instruction with the scientific attitude students' to increase student’s critical thinking of skills. Keywords:","author":[{"dropping-particle":"","family":"Damanik","given":"Dede Parsaoran","non-dropping-particle":"","parse-names":false,"suffix":""},{"dropping-particle":"","family":"Bukit","given":"Nurdin","non-dropping-particle":"","parse-names":false,"suffix":""}],"container-title":"Jurnal Pendidikan Fisika","id":"ITEM-2","issue":"1","issued":{"date-parts":[["2013"]]},"page":"16-24","title":"ANALISIS KEMAMPUAN BERPIKIR KRITIS DAN SIKAP ILMIAH PADA PEMBELAJARAN FISIKA MENGGUNAKAN MODEL PEMBELAJARAN INQUIRY TRAINING (IT) DAN DIRECT INSTRUCTION (DI)","type":"article-journal","volume":"2"},"uris":["http://www.mendeley.com/documents/?uuid=68fc6f68-2b41-41cc-9253-51b22f7cf054"]},{"id":"ITEM-3","itemData":{"DOI":"10.15294/jpii.v11i3.30631","ISSN":"20894392","abstract":"This study aims to describe the problem-based learning and collaboration model on science learning in elementary schools in the Industrial Revolution era 4.0 and Indonesia Society 5.0. This research is qualitative and descriptive. Data collection activities at the preliminary stage are carried out by exploring elementary school teachers’ perceptions of problem-based learning and its application in science learning in schools in Surakarta, Indonesia. Focus group discussions (FGD) were conducted on 20 elementary school teachers employing the open inquiry method. The discussion reviewed several topics related to the teachers’ perception of the problem-based learning application, the advantages and disadvantages of problem-based learning as the basis for modifying the learning model, and the importance of collaboration skills for elementary school students. The problem-based learningcollaboration (PBL-C) model is a development of the problem-based learning model, which is equipped with collaborative skill indicators from the Industrial Revolution 4.0 aspects and coordination indicators with various parties from Indonesia Society 5.0 aspects. The result of this research is the problem-based learning-collaboration (PBL-C) model design with six steps: (1) orientation of students to problems, (2) organizing students for learning and division of tasks, (3) guiding investigations on local community leaders, (4) proving the results of the investigation, (5) developing and presenting the work, and (6) analyzing and evaluating the problem-solving process.","author":[{"dropping-particle":"","family":"Sajidan","given":"","non-dropping-particle":"","parse-names":false,"suffix":""},{"dropping-particle":"","family":"Suranto","given":"","non-dropping-particle":"","parse-names":false,"suffix":""},{"dropping-particle":"","family":"Atmojo","given":"I. R.W.","non-dropping-particle":"","parse-names":false,"suffix":""},{"dropping-particle":"","family":"Saputri","given":"D. Y.","non-dropping-particle":"","parse-names":false,"suffix":""},{"dropping-particle":"","family":"Etviana","given":"R.","non-dropping-particle":"","parse-names":false,"suffix":""}],"container-title":"Jurnal Pendidikan IPA Indonesia","id":"ITEM-3","issue":"3","issued":{"date-parts":[["2022"]]},"page":"477-488","title":"Problem-Based Learning-Collaboration (Pbl-C) Model in Elementary School Science Learning in the Industrial Revolution Era 4.0 and Indonesia Society 5.0","type":"article-journal","volume":"11"},"uris":["http://www.mendeley.com/documents/?uuid=b5ac4719-15f7-4641-b8b7-1ac89526eb04"]}],"mendeley":{"formattedCitation":"(Aulia et al., 2019; Damanik &amp; Bukit, 2013; Sajidan et al., 2022)","plainTextFormattedCitation":"(Aulia et al., 2019; Damanik &amp; Bukit, 2013; Sajidan et al., 2022)","previouslyFormattedCitation":"(Aulia et al., 2019; Damanik &amp; Bukit, 2013; Sajidan et al., 2022)"},"properties":{"noteIndex":0},"schema":"https://github.com/citation-style-language/schema/raw/master/csl-citation.json"}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(Aulia et al., 2019; Damanik &amp; Bukit, 2013; Sajidan et al., 2022)</w:t>
      </w:r>
      <w:r w:rsidR="00C365A6">
        <w:rPr>
          <w:rFonts w:eastAsia="Calibri"/>
          <w:color w:val="auto"/>
          <w:lang w:val="en-US" w:eastAsia="en-US"/>
        </w:rPr>
        <w:fldChar w:fldCharType="end"/>
      </w:r>
      <w:r w:rsidR="0091554A" w:rsidRPr="0091554A">
        <w:rPr>
          <w:rFonts w:eastAsia="Calibri"/>
          <w:color w:val="auto"/>
          <w:lang w:val="en-US" w:eastAsia="en-US"/>
        </w:rPr>
        <w:t>.</w:t>
      </w:r>
    </w:p>
    <w:p w:rsidR="009C70D7" w:rsidRDefault="00194831" w:rsidP="009C70D7">
      <w:pPr>
        <w:spacing w:after="0" w:line="360" w:lineRule="auto"/>
        <w:ind w:left="0" w:firstLine="567"/>
        <w:rPr>
          <w:rFonts w:eastAsia="Calibri"/>
          <w:color w:val="auto"/>
          <w:lang w:val="en-US" w:eastAsia="en-US"/>
        </w:rPr>
      </w:pPr>
      <w:r w:rsidRPr="00194831">
        <w:rPr>
          <w:rFonts w:eastAsia="Calibri"/>
          <w:color w:val="auto"/>
          <w:lang w:val="en-US" w:eastAsia="en-US"/>
        </w:rPr>
        <w:t>Learning in natural science is founded on principles, which may help students develop a scientific mi</w:t>
      </w:r>
      <w:r>
        <w:rPr>
          <w:rFonts w:eastAsia="Calibri"/>
          <w:color w:val="auto"/>
          <w:lang w:val="en-US" w:eastAsia="en-US"/>
        </w:rPr>
        <w:t xml:space="preserve">ndset towards scientific ideas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{"citationItems":[{"id":"ITEM-1","itemData":{"DOI":"10.4025/actascieduc.v45i1.55531","ISSN":"21785201","abstract":"This article aims to analyze the work of the pedagogical coordinator from the critical perspective of education, identifying the possible contributions to the development of pedagogical practices that are based on the classic educational purposes of the school. It is, therefore, a qualitative research, developed from the perspective of historical-dialectical materialism. The resources used to perform the data collection are interviews and observation. The research subjects are six pedagogical coordinators of Elementary School I of the municipal education network of Cruzeiro do Sul-Acre. Thus, in order to better understand the theme, it was essential to seek a theoretical basis in the literature of: Libâneo, Oliveira e Toschi (2003); Marx (2004); and Saviani (2005), among other authors, who contributed to the development of this dialogue. The analyzes performed indicated that the main challenge of the pedagogical coordinator's work is to guide and direct the teacher towards the performance of pedagogical practices that are based on the classic educational purposes of the school, thus guaranteeing the integral development of their students, through critical thinking. and reflective, which allows them to contribute to the transformation of their reality and to break the social inequality to which many are subjected.","author":[{"dropping-particle":"","family":"Fernandes","given":"Naiara de Souza","non-dropping-particle":"","parse-names":false,"suffix":""},{"dropping-particle":"","family":"Faria","given":"Lenilda Rego Albuquerque","non-dropping-particle":"de","parse-names":false,"suffix":""}],"container-title":"Acta Scientiarum - Education","id":"ITEM-1","issued":{"date-parts":[["2023"]]},"page":"1-12","title":"The work of the pedagogical coordinator of elementary education I from the critical perspective of education","type":"article-journal","volume":"45"},"uris":["http://www.mendeley.com/documents/?uuid=0ddd4fa2-be67-4453-85ff-975f85c9d71f"]}],"mendeley":{"formattedCitation":"(Fernandes &amp; de Faria, 2023)","plainTextFormattedCitation":"(Fernandes &amp; de Faria, 2023)","previouslyFormattedCitation":"(Fernandes &amp; de Faria, 2023)"},"properties":{"noteIndex":0},"schema":"https://github.com/citation-style-language/schema/raw/master/csl-citation.json"}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(Fernandes &amp; de Faria, 2023)</w:t>
      </w:r>
      <w:r w:rsidR="00C365A6">
        <w:rPr>
          <w:rFonts w:eastAsia="Calibri"/>
          <w:color w:val="auto"/>
          <w:lang w:val="en-US" w:eastAsia="en-US"/>
        </w:rPr>
        <w:fldChar w:fldCharType="end"/>
      </w:r>
      <w:r w:rsidR="0091554A" w:rsidRPr="0091554A">
        <w:rPr>
          <w:rFonts w:eastAsia="Calibri"/>
          <w:color w:val="auto"/>
          <w:lang w:val="en-US" w:eastAsia="en-US"/>
        </w:rPr>
        <w:t xml:space="preserve">. </w:t>
      </w:r>
      <w:r w:rsidRPr="00194831">
        <w:rPr>
          <w:rFonts w:eastAsia="Calibri"/>
          <w:color w:val="auto"/>
          <w:lang w:val="en-US" w:eastAsia="en-US"/>
        </w:rPr>
        <w:t>As a result, rather than memorization of a list of scientific ideas, primary school students learn science via straightforward studies. Through observation, debate, and easy research, these activities will provide students studying science first-hand experience. By posing questions and generating conclusions, such learning may help students develop their scientific attitudes and develop the</w:t>
      </w:r>
      <w:r>
        <w:rPr>
          <w:rFonts w:eastAsia="Calibri"/>
          <w:color w:val="auto"/>
          <w:lang w:val="en-US" w:eastAsia="en-US"/>
        </w:rPr>
        <w:t xml:space="preserve">ir ability to think critically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{"citationItems":[{"id":"ITEM-1","itemData":{"DOI":"10.1080/01587919.2014.891426","ISSN":"14750198","abstract":"Academic help-seeking is an invaluable learning strategy that has not yet received much attention in the distance education research literature. The asynchronous nature of distance education and many online courses presents an inherent roadblock to help-seeking. The purpose of this study was to explore the effect of academic self-regulation, critical thinking, and age on online graduate students' help-seeking. Results indicate that these variables did significantly influence help-seeking, and that as self-regulation and critical thinking increased so did help-seeking. However, as age increased, help-seeking decreased. These results and implications for practice are discussed. © 2014 Open and Distance Learning Association of Australia, Inc.","author":[{"dropping-particle":"","family":"Dunn","given":"Karee E.","non-dropping-particle":"","parse-names":false,"suffix":""},{"dropping-particle":"","family":"Rakes","given":"Glenda C.","non-dropping-particle":"","parse-names":false,"suffix":""},{"dropping-particle":"","family":"Rakes","given":"Thomas A.","non-dropping-particle":"","parse-names":false,"suffix":""}],"container-title":"Distance Education","id":"ITEM-1","issue":"1","issued":{"date-parts":[["2014"]]},"page":"75-89","publisher":"Routledge","title":"Influence of academic self-regulation, critical thinking, and age on online graduate students' academic help-seeking","type":"article-journal","volume":"35"},"uris":["http://www.mendeley.com/documents/?uuid=4fb5eb4a-5ed3-460d-aeed-d886385625d2"]},{"id":"ITEM-2","itemData":{"DOI":"10.1080/00405849309543594","ISSN":"15430421","author":[{"dropping-particle":"","family":"Ennis","given":"Robert H.","non-dropping-particle":"","parse-names":false,"suffix":""}],"container-title":"Theory Into Practice","id":"ITEM-2","issue":"3","issued":{"date-parts":[["1993"]]},"page":"179-186","title":"Critical thinking assessment","type":"article-journal","volume":"32"},"uris":["http://www.mendeley.com/documents/?uuid=aeb330da-17d3-438b-b993-49565312abeb"]},{"id":"ITEM-3","itemData":{"abstract":"The study was based on students' high motivation for gadgets but low in learning. The renewal of learning based on active, innovative, creative, efficient and fun learning (PAIKEM) that is the Flipped Classroom model and additional variables (motivation) is required to improve the process of critical thinking skills and student learning outcomes. The purpose of this study was to analyze the effectiveness and influence of the Flipped Classroom Model towards the ability to think critically and student science learning outcomes of students by increasing their motivation. The method used in this study was an experiment with the Control Group Post-test – Only Design. The sample comprised of 121 students from 4 elementary schools in Pati. The data collection consisted of performance tests to measure critical thinking skills and learning outcomes while questionnaires to measure student’s learning motivation. The data were analyzed using the average difference test and single line regression. The analysis result of the average difference test showed that Asymp. Sig. (2-tailed) of 0.000 and result of single line regression Asymp. Sig. (2-tailed) of 0.000 (sig &lt; 0.05). The results in this study showed that Model Flipped Classroom learning is effective in improving the ability of critical thinking, science learning outcomes and student motivation, there is positive influence between learning motivation and critical thinking skills and student learning outcomes science.","author":[{"dropping-particle":"","family":"Kurnianto","given":"Bagas","non-dropping-particle":"","parse-names":false,"suffix":""},{"dropping-particle":"","family":"Haryani","given":"Sri","non-dropping-particle":"","parse-names":false,"suffix":""}],"container-title":"Journal of Primary Education","id":"ITEM-3","issue":"3","issued":{"date-parts":[["2020"]]},"page":"282-291","title":"Critical Thinking Skills and Learning Outcomes by Improving Motivation in the Model of Flipped Classroom","type":"article-journal","volume":"9"},"uris":["http://www.mendeley.com/documents/?uuid=a13b0215-edd7-42f8-8332-009dc937f31c"]}],"mendeley":{"formattedCitation":"(Dunn et al., 2014; Ennis, 1993; Kurnianto &amp; Haryani, 2020)","plainTextFormattedCitation":"(Dunn et al., 2014; Ennis, 1993; Kurnianto &amp; Haryani, 2020)"},"properties":{"noteIndex":0},"schema":"https://github.com/citation-style-language/schema/raw/master/csl-citation.json"}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(Dunn et al., 2014; Ennis, 1993; Kurnianto &amp; Haryani, 2020)</w:t>
      </w:r>
      <w:r w:rsidR="00C365A6">
        <w:rPr>
          <w:rFonts w:eastAsia="Calibri"/>
          <w:color w:val="auto"/>
          <w:lang w:val="en-US" w:eastAsia="en-US"/>
        </w:rPr>
        <w:fldChar w:fldCharType="end"/>
      </w:r>
      <w:r w:rsidR="0091554A" w:rsidRPr="0091554A">
        <w:rPr>
          <w:rFonts w:eastAsia="Calibri"/>
          <w:color w:val="auto"/>
          <w:lang w:val="en-US" w:eastAsia="en-US"/>
        </w:rPr>
        <w:t xml:space="preserve">. </w:t>
      </w:r>
      <w:r w:rsidRPr="00194831">
        <w:rPr>
          <w:rFonts w:eastAsia="Calibri"/>
          <w:color w:val="auto"/>
          <w:lang w:val="en-US" w:eastAsia="en-US"/>
        </w:rPr>
        <w:t xml:space="preserve">In addition, science is a human </w:t>
      </w:r>
      <w:proofErr w:type="spellStart"/>
      <w:r w:rsidRPr="00194831">
        <w:rPr>
          <w:rFonts w:eastAsia="Calibri"/>
          <w:color w:val="auto"/>
          <w:lang w:val="en-US" w:eastAsia="en-US"/>
        </w:rPr>
        <w:t>endeavour</w:t>
      </w:r>
      <w:proofErr w:type="spellEnd"/>
      <w:r w:rsidRPr="00194831">
        <w:rPr>
          <w:rFonts w:eastAsia="Calibri"/>
          <w:color w:val="auto"/>
          <w:lang w:val="en-US" w:eastAsia="en-US"/>
        </w:rPr>
        <w:t xml:space="preserve"> to comprehend the cosmos by accurate observations, the application of techniques, and j</w:t>
      </w:r>
      <w:r>
        <w:rPr>
          <w:rFonts w:eastAsia="Calibri"/>
          <w:color w:val="auto"/>
          <w:lang w:val="en-US" w:eastAsia="en-US"/>
        </w:rPr>
        <w:t xml:space="preserve">ustification through inference </w:t>
      </w:r>
      <w:r w:rsidR="0091554A" w:rsidRPr="0091554A">
        <w:rPr>
          <w:rFonts w:eastAsia="Calibri"/>
          <w:color w:val="auto"/>
          <w:lang w:val="en-US" w:eastAsia="en-US"/>
        </w:rPr>
        <w:fldChar w:fldCharType="begin" w:fldLock="1"/>
      </w:r>
      <w:r w:rsidR="00B115C2">
        <w:rPr>
          <w:rFonts w:eastAsia="Calibri"/>
          <w:color w:val="auto"/>
          <w:lang w:val="en-US" w:eastAsia="en-US"/>
        </w:rPr>
        <w:instrText>ADDIN CSL_CITATION {"citationItems":[{"id":"ITEM-1","itemData":{"ISBN":"9786234553314","author":[{"dropping-particle":"","family":"Darmayanti","given":"Ni Wayan Sri","non-dropping-particle":"","parse-names":false,"suffix":""},{"dropping-particle":"","family":"Artini","given":"Ni Putu Juni","non-dropping-particle":"","parse-names":false,"suffix":""},{"dropping-particle":"","family":"Juniartina","given":"Putu Prima","non-dropping-particle":"","parse-names":false,"suffix":""},{"dropping-particle":"","family":"Wahyuni","given":"Ni Nyoman Tri","non-dropping-particle":"","parse-names":false,"suffix":""},{"dropping-particle":"","family":"Wijaya","given":"I Komang Wisnu Budi","non-dropping-particle":"","parse-names":false,"suffix":""},{"dropping-particle":"","family":"Setiawati","given":"Gusti Ayu Dewi","non-dropping-particle":"","parse-names":false,"suffix":""},{"dropping-particle":"","family":"Kristiandayanti","given":"adek Ayu","non-dropping-particle":"","parse-names":false,"suffix":""},{"dropping-particle":"","family":"Januariawan","given":"I Wayan","non-dropping-particle":"","parse-names":false,"suffix":""}],"edition":"1","id":"ITEM-1","issued":{"date-parts":[["2022"]]},"number-of-pages":"1-116","publisher":"CV Pena Persada","publisher-place":"Purwokerto","title":"Strategi Pembelajaran IPA di Sekolah Dasar (SD)","type":"book"},"uris":["http://www.mendeley.com/documents/?uuid=0ffd0806-9654-4e69-9adb-858e2914dd7c","http://www.mendeley.com/documents/?uuid=10dcbfaf-a162-414f-b1eb-14852a5f2149"]}],"mendeley":{"formattedCitation":"(Darmayanti et al., 2022)","manualFormatting":"(Darmawan, dkk, 2020)","plainTextFormattedCitation":"(Darmayanti et al., 2022)","previouslyFormattedCitation":"(Darmayanti et al., 2022)"},"properties":{"noteIndex":0},"schema":"https://github.com/citation-style-language/schema/raw/master/csl-citation.json"}</w:instrText>
      </w:r>
      <w:r w:rsidR="0091554A" w:rsidRPr="0091554A">
        <w:rPr>
          <w:rFonts w:eastAsia="Calibri"/>
          <w:color w:val="auto"/>
          <w:lang w:val="en-US" w:eastAsia="en-US"/>
        </w:rPr>
        <w:fldChar w:fldCharType="separate"/>
      </w:r>
      <w:r w:rsidR="0091554A" w:rsidRPr="0091554A">
        <w:rPr>
          <w:rFonts w:eastAsia="Calibri"/>
          <w:noProof/>
          <w:color w:val="auto"/>
          <w:lang w:val="en-US" w:eastAsia="en-US"/>
        </w:rPr>
        <w:t>(Darmawan,</w:t>
      </w:r>
      <w:r w:rsidR="0091554A" w:rsidRPr="0091554A">
        <w:rPr>
          <w:rFonts w:eastAsia="Calibri" w:hint="cs"/>
          <w:noProof/>
          <w:color w:val="auto"/>
          <w:rtl/>
          <w:lang w:eastAsia="en-US"/>
        </w:rPr>
        <w:t xml:space="preserve"> </w:t>
      </w:r>
      <w:r w:rsidR="0091554A" w:rsidRPr="0091554A">
        <w:rPr>
          <w:rFonts w:eastAsia="Calibri"/>
          <w:noProof/>
          <w:color w:val="auto"/>
          <w:lang w:val="en-US" w:eastAsia="en-US"/>
        </w:rPr>
        <w:t>dkk, 2020)</w:t>
      </w:r>
      <w:r w:rsidR="0091554A" w:rsidRPr="0091554A">
        <w:rPr>
          <w:rFonts w:eastAsia="Calibri"/>
          <w:color w:val="auto"/>
          <w:lang w:eastAsia="en-US"/>
        </w:rPr>
        <w:fldChar w:fldCharType="end"/>
      </w:r>
      <w:r w:rsidR="0091554A" w:rsidRPr="0091554A">
        <w:rPr>
          <w:rFonts w:eastAsia="Calibri"/>
          <w:color w:val="auto"/>
          <w:lang w:val="en-US" w:eastAsia="en-US"/>
        </w:rPr>
        <w:t>.</w:t>
      </w:r>
      <w:r w:rsidR="0091554A">
        <w:rPr>
          <w:rFonts w:eastAsia="Calibri"/>
          <w:color w:val="auto"/>
          <w:lang w:val="en-US" w:eastAsia="en-US"/>
        </w:rPr>
        <w:t xml:space="preserve"> </w:t>
      </w:r>
      <w:r w:rsidRPr="00194831">
        <w:rPr>
          <w:rFonts w:eastAsia="Calibri"/>
          <w:color w:val="auto"/>
          <w:lang w:val="en-US" w:eastAsia="en-US"/>
        </w:rPr>
        <w:t>In accordance with this, the Natio</w:t>
      </w:r>
      <w:r w:rsidR="009C70D7">
        <w:rPr>
          <w:rFonts w:eastAsia="Calibri"/>
          <w:color w:val="auto"/>
          <w:lang w:val="en-US" w:eastAsia="en-US"/>
        </w:rPr>
        <w:t xml:space="preserve">nal Education Standards Agency </w:t>
      </w:r>
      <w:r w:rsidRPr="00194831">
        <w:rPr>
          <w:rFonts w:eastAsia="Calibri"/>
          <w:color w:val="auto"/>
          <w:lang w:val="en-US" w:eastAsia="en-US"/>
        </w:rPr>
        <w:t xml:space="preserve">proposed the following goals for learning science in elementary schools: 1) Developing faith in the majesty of God Almighty based on the existence, beauty, and orderliness of His natural creation; and 2) Developing an understanding of how the universe works. 2) Gaining knowledge and comprehension of practical science principles that may be applied to everyday life, 3) fostering curiosity, a positive outlook, and awareness of the interplay between science, the environment, technology, and society, </w:t>
      </w:r>
      <w:r w:rsidRPr="00194831">
        <w:rPr>
          <w:rFonts w:eastAsia="Calibri"/>
          <w:color w:val="auto"/>
          <w:lang w:val="en-US" w:eastAsia="en-US"/>
        </w:rPr>
        <w:lastRenderedPageBreak/>
        <w:t>4) Improve and expand one's numeracy abilities. 5) Raise awareness of the need to contribute to conserving the environment; 6) Raise awareness of the need to preserve nature and all of its order as one of God's creations; 7) Obtain science information, concepts, and abilities as a foundati</w:t>
      </w:r>
      <w:r>
        <w:rPr>
          <w:rFonts w:eastAsia="Calibri"/>
          <w:color w:val="auto"/>
          <w:lang w:val="en-US" w:eastAsia="en-US"/>
        </w:rPr>
        <w:t>on for junior high school study</w:t>
      </w:r>
      <w:r w:rsidR="00C365A6">
        <w:rPr>
          <w:rFonts w:eastAsia="Calibri"/>
          <w:color w:val="auto"/>
          <w:lang w:val="en-US" w:eastAsia="en-US"/>
        </w:rPr>
        <w:t xml:space="preserve"> </w:t>
      </w:r>
      <w:r w:rsidR="00C365A6">
        <w:rPr>
          <w:rFonts w:eastAsia="Calibri"/>
          <w:color w:val="auto"/>
          <w:lang w:val="en-US" w:eastAsia="en-US"/>
        </w:rPr>
        <w:fldChar w:fldCharType="begin" w:fldLock="1"/>
      </w:r>
      <w:r w:rsidR="00C365A6">
        <w:rPr>
          <w:rFonts w:eastAsia="Calibri"/>
          <w:color w:val="auto"/>
          <w:lang w:val="en-US" w:eastAsia="en-US"/>
        </w:rPr>
        <w:instrText>ADDIN CSL_CITATION {"citationItems":[{"id":"ITEM-1","itemData":{"ISSN":"2615-840X","abstract":"Abstrak Tujuan penelitian ini untuk mengetahui pengaruh media pembelajaran interaktif pada konsep termokimia terhadap peningkatan keterampilan berpikir kritis siswa di kelas XI-IPA MAN Banda Aceh 1.Desain penelitian eksperimen semu (quasy exsperimen) dengan rancangan the pretest and posttest nonequivalent control group design. Data yang diperoleh dianalisis melalui pendekatan kuantitatif dengan uji statistik uji t dan N-Gain. Berdasarkan hasil analisis data, didapatkan sebagai berikut: pemanfaatan media pembelajaran interaktif pada materi termokimia terjadi peningkatan keterampilan berpikir kritis siswa. Peningkatan tertinggi terjadi pada memfokuskan pertanyaan indikator dengan N-Gain sebesar 74,583% dan terdapat perbedaan keterampilan berpikir kritis antara kelas eksperimen dengan kelas kontrol dengan nilai rata-rata hasil belajar kelas eksperimen sebesar 76,75, dan kelas kontrol sebesar 70,5. dengan hasil analisis uji t sebesar thitung 2,107 &gt; ttabel 2,093, maka dapat disimpulkan bahwa pemanfaatan media pembelajaran interaktif pada materi termokimia terdapat perbedaan nyata terhadap peningkatan keterampilan berpikir kritis siswa. Kata Kunci: media pembelajaran interaktif, keterampilan berpikir kritis, memfokuskan pertanyaan indikator Abstract The purpose of this study is to find out the influence of interactive learning media on Thermochemical concept to the increase of students' critical thinking skill in XI IPA of MAN Banda Aceh 1. Design of this study was Quasi Experimental method by using pretest and posttest nonequivalent control group design. The collected data were analyzed through quantitative approach of ttest and N-gain. Based on the analysis data result, the findings obtained as follows: Application of interactive learning media on thermochemical topic enhanced of students' critical thinking skill. The highest component of critical thinking skills was on focusing indicator question with N-gain 74,583% and it was significantly differences control groups. The mean score was 76.75, and 70,5 for experiment and control respecting, it was analyzed using t test amounted tcalculate 2,107 &gt; ttable 2,093, so it can be concluded that the use of interactive learning on thermochemical has significant difference to the increase of students' critical thinking. Keywords: interactive learning media, critical thinking skill, focusing on indicator question.","author":[{"dropping-particle":"","family":"Zulhelmi","given":"","non-dropping-particle":"","parse-names":false,"suffix":""},{"dropping-particle":"","family":"Adlim","given":"","non-dropping-particle":"","parse-names":false,"suffix":""},{"dropping-particle":"","family":"Mahidin","given":"","non-dropping-particle":"","parse-names":false,"suffix":""}],"container-title":"Jurnal Pendidikan Sains Indonesia (Indonesian Journal of Science Education)","id":"ITEM-1","issue":"1","issued":{"date-parts":[["2017"]]},"page":"72-80","title":"Pengaruh media pembelajaran interaktif terhadap peningkatan keterampilan berpikir kritis siswa [The effect of interactive learning media on improving students' critical thinking skills]","type":"article-journal","volume":"5"},"uris":["http://www.mendeley.com/documents/?uuid=1fb4f2f3-ec1c-4a60-936b-9fcb5a2e95c5"]},{"id":"ITEM-2","itemData":{"DOI":"10.15294/jpii.v8i2.19249","ISSN":"20894392","abstract":"Elementary school students’ rational skill is terminated on concrete situations; therefore, enhancing abstract reasoning becomes a prompt for students to be more critical in solving science problems. The objective of the study was to improve abstract reasoning in science learning using interactive multimedia based on augmented reality (AR) for fifth-grade students. This study used a Classroom Action Research conducted in two cycles consisting of Plan, Act &amp; Observe, and Reflect stage each. Data collection techniques used tests and observations involving 28 students. The credibility of the research data was examined based on technical triangulation and source triangulation while the collected data were analyzed descriptively. The results of the study on process aspect showed that the use of interactive multimedia based on augmented reality gave positive changes to the learning processes on earth and rock structure topic in the fifth grade of elementary school. The students’ enthusiasm during the learning processes thus strengthened student-teacher interaction as they enjoyed the learning processes actively, independently, and collaboratively. The interactive multimedia based on augmented reality facilitates the students to reason by exploring more realistic visual objects to eases student understanding of science concept, associating inter-concepts and implementation of information analysis, and problem-solving. The success of the product showed that students’ abstract reasoning in science learning enhanced by 24.20% (in the first cycle) and 23.08% (in the second cycle). The results of this study concluded that the use of interactive multimedia based on augmented reality could enhance abstract reasoning skill of the fifth-grade elementary school students.","author":[{"dropping-particle":"","family":"Syawaludin","given":"A.","non-dropping-particle":"","parse-names":false,"suffix":""},{"dropping-particle":"","family":"Gunarhadi","given":"","non-dropping-particle":"","parse-names":false,"suffix":""},{"dropping-particle":"","family":"Rintayati","given":"P.","non-dropping-particle":"","parse-names":false,"suffix":""}],"container-title":"Jurnal Pendidikan IPA Indonesia","id":"ITEM-2","issue":"2","issued":{"date-parts":[["2019"]]},"page":"288-297","title":"Enhancing elementary school students’ abstract reasoning in science learning through augmented reality-based interactive multimedia","type":"article-journal","volume":"8"},"uris":["http://www.mendeley.com/documents/?uuid=dfce6ab7-9f33-47c7-98c9-bd2d332cfa5e"]},{"id":"ITEM-3","itemData":{"DOI":"10.21831/jpe.v5i1.8461","ISSN":"2338-4743","abstract":"Penelitian ini bertujuan untuk mengetahui: (1) pengaruh media video terhadap motivasi belajar peserta didik pada pembelajaran IPA, (2) pengaruh media video terhadap hasil belajar kognitif peserta didik pada pembelajaran IPA, (3) pengaruh media video terhadap motivasi belajar dan hasil belajar kognitif peserts didik pada pembelajaran IPA. Penelitian ini adalah quasi experiment. .Populasi penelitian ini adalah peserta didik kelas V se gugus 04 Palangka Raya. Sampel penelitian ditentukan dengan teknik cluster random sampling. Pengumpulan data menggunakan skala motivasi dan tes. Pengujian hipotesis dengan teknik MANOVA. Penelitian ini membuktikan bahwa terdapat pengaruh positif pada pembelajaran IPA yang menggunakan media video dibandingkan dengan pembelajaran IPA yang menggunakan media gambar terhadap motivasi belajar dan hasil belajar kognitif pembelajaran IPA.Kata kunci: media video, motivasi belajar, hasil belajar kognitif. The effect of video media on learning motivation and learning outcomes in natural science subject of the fifth grade students of elementary schoolsAbstractThis research aims to describe: (1) the effects of the video media on students’ learning motivation related to the natural science subject; (2) the effects of the video media on students’ cognitive learning outcomes related to the natural science subject; (3) the effects of the video media on students’ learning motivation and cognitive learning outcomes related to the natural science subject. This research is a quasi experiment. The population was the students of Fifth Grade Students of Elementary Schools Location 04 Palangka Raya. The sample was established using the cluster random sampling technique. The data collection used a motivation scale and test. The hypotesis testing used the MANOVA. The result of the research shows that there to know the difference of learning motivation and cognitive learning result in natural science subject of the fifth grade students of elementary schools location 04 Palangka Raya between before and after using video media.Keywords: video media, learning motivation, cognitive learning result.","author":[{"dropping-particle":"","family":"Pebriani","given":"Corry","non-dropping-particle":"","parse-names":false,"suffix":""}],"container-title":"Jurnal Prima Edukasia","id":"ITEM-3","issue":"1","issued":{"date-parts":[["2017"]]},"page":"11-21","title":"Pengaruh penggunaan media video terhadap motivasi dan hasil belajar kognitif pembelajaran IPA kelas V","type":"article-journal","volume":"5"},"uris":["http://www.mendeley.com/documents/?uuid=0b21791b-a6b6-4cde-86f8-c44f4d17c3bd"]}],"mendeley":{"formattedCitation":"(Pebriani, 2017; Syawaludin et al., 2019; Zulhelmi et al., 2017)","plainTextFormattedCitation":"(Pebriani, 2017; Syawaludin et al., 2019; Zulhelmi et al., 2017)","previouslyFormattedCitation":"(Pebriani, 2017; Syawaludin et al., 2019; Zulhelmi et al., 2017)"},"properties":{"noteIndex":0},"schema":"https://github.com/citation-style-language/schema/raw/master/csl-citation.json"}</w:instrText>
      </w:r>
      <w:r w:rsidR="00C365A6">
        <w:rPr>
          <w:rFonts w:eastAsia="Calibri"/>
          <w:color w:val="auto"/>
          <w:lang w:val="en-US" w:eastAsia="en-US"/>
        </w:rPr>
        <w:fldChar w:fldCharType="separate"/>
      </w:r>
      <w:r w:rsidR="00C365A6" w:rsidRPr="00C365A6">
        <w:rPr>
          <w:rFonts w:eastAsia="Calibri"/>
          <w:noProof/>
          <w:color w:val="auto"/>
          <w:lang w:val="en-US" w:eastAsia="en-US"/>
        </w:rPr>
        <w:t>(Pebriani, 2017; Syawaludin et al., 2019; Zulhelmi et al., 2017)</w:t>
      </w:r>
      <w:r w:rsidR="00C365A6">
        <w:rPr>
          <w:rFonts w:eastAsia="Calibri"/>
          <w:color w:val="auto"/>
          <w:lang w:val="en-US" w:eastAsia="en-US"/>
        </w:rPr>
        <w:fldChar w:fldCharType="end"/>
      </w:r>
      <w:r w:rsidR="00C365A6">
        <w:rPr>
          <w:rFonts w:eastAsia="Calibri"/>
          <w:color w:val="auto"/>
          <w:lang w:val="en-US" w:eastAsia="en-US"/>
        </w:rPr>
        <w:t>.</w:t>
      </w:r>
    </w:p>
    <w:p w:rsidR="009C70D7" w:rsidRDefault="009C70D7" w:rsidP="009C70D7">
      <w:pPr>
        <w:spacing w:after="0" w:line="360" w:lineRule="auto"/>
        <w:ind w:left="0" w:firstLine="567"/>
        <w:rPr>
          <w:rFonts w:eastAsia="Calibri"/>
          <w:color w:val="auto"/>
          <w:lang w:val="en-US" w:eastAsia="en-US"/>
        </w:rPr>
      </w:pPr>
      <w:r w:rsidRPr="009C70D7">
        <w:rPr>
          <w:rFonts w:eastAsia="Calibri"/>
          <w:color w:val="auto"/>
          <w:lang w:val="en-US" w:eastAsia="en-US"/>
        </w:rPr>
        <w:t xml:space="preserve">According to the aforementioned learning goals, early exposure to science is crucial for developing trustworthy and qualified people resources. It is crucial to provide a learning environment where students may deepen and broaden their grasp of the topics they are taught in order to have a beneficial influence on the development of knowledge, skills, and understanding as well as student learning outcomes in science. It is essential to provide instruction that does not </w:t>
      </w:r>
      <w:proofErr w:type="spellStart"/>
      <w:r w:rsidRPr="009C70D7">
        <w:rPr>
          <w:rFonts w:eastAsia="Calibri"/>
          <w:color w:val="auto"/>
          <w:lang w:val="en-US" w:eastAsia="en-US"/>
        </w:rPr>
        <w:t>centre</w:t>
      </w:r>
      <w:proofErr w:type="spellEnd"/>
      <w:r w:rsidRPr="009C70D7">
        <w:rPr>
          <w:rFonts w:eastAsia="Calibri"/>
          <w:color w:val="auto"/>
          <w:lang w:val="en-US" w:eastAsia="en-US"/>
        </w:rPr>
        <w:t xml:space="preserve"> learning activities on teacher activities if scientific learning goals are to be met. In other words, the instructor may plan and oversee the teaching process. In order to achieve excellent learning in accordance with the primary school's vision, purpose, and objectives, they are learning by selecting and </w:t>
      </w:r>
      <w:proofErr w:type="spellStart"/>
      <w:r w:rsidRPr="009C70D7">
        <w:rPr>
          <w:rFonts w:eastAsia="Calibri"/>
          <w:color w:val="auto"/>
          <w:lang w:val="en-US" w:eastAsia="en-US"/>
        </w:rPr>
        <w:t>utilising</w:t>
      </w:r>
      <w:proofErr w:type="spellEnd"/>
      <w:r w:rsidRPr="009C70D7">
        <w:rPr>
          <w:rFonts w:eastAsia="Calibri"/>
          <w:color w:val="auto"/>
          <w:lang w:val="en-US" w:eastAsia="en-US"/>
        </w:rPr>
        <w:t xml:space="preserve"> learning models that may boost student interest and motivation. The teacher is a determinant of the success of the learning process. Teachers must thus be able to use an effective and efficient learning model when planning scientific lessons in order to satisfy learning goals and the Minimum Completeness Criteria that have </w:t>
      </w:r>
      <w:r>
        <w:rPr>
          <w:rFonts w:eastAsia="Calibri"/>
          <w:color w:val="auto"/>
          <w:lang w:val="en-US" w:eastAsia="en-US"/>
        </w:rPr>
        <w:t>been established at the school.</w:t>
      </w:r>
    </w:p>
    <w:p w:rsidR="009C70D7" w:rsidRDefault="009C70D7" w:rsidP="009C70D7">
      <w:pPr>
        <w:spacing w:after="0" w:line="360" w:lineRule="auto"/>
        <w:ind w:left="0" w:firstLine="567"/>
        <w:rPr>
          <w:rFonts w:eastAsia="Calibri"/>
          <w:color w:val="auto"/>
          <w:lang w:val="en-US" w:eastAsia="en-US"/>
        </w:rPr>
      </w:pPr>
      <w:r>
        <w:rPr>
          <w:rFonts w:eastAsia="Calibri"/>
          <w:color w:val="auto"/>
          <w:lang w:val="en-US" w:eastAsia="en-US"/>
        </w:rPr>
        <w:t>B</w:t>
      </w:r>
      <w:r w:rsidRPr="009C70D7">
        <w:rPr>
          <w:rFonts w:eastAsia="Calibri"/>
          <w:color w:val="auto"/>
          <w:lang w:val="en-US" w:eastAsia="en-US"/>
        </w:rPr>
        <w:t xml:space="preserve">ased on preliminary study carried out by researchers on November 20, 2022 in class V at UPT Public Elementary School, 127 </w:t>
      </w:r>
      <w:proofErr w:type="spellStart"/>
      <w:r w:rsidRPr="009C70D7">
        <w:rPr>
          <w:rFonts w:eastAsia="Calibri"/>
          <w:color w:val="auto"/>
          <w:lang w:val="en-US" w:eastAsia="en-US"/>
        </w:rPr>
        <w:t>Inpres</w:t>
      </w:r>
      <w:proofErr w:type="spellEnd"/>
      <w:r w:rsidRPr="009C70D7">
        <w:rPr>
          <w:rFonts w:eastAsia="Calibri"/>
          <w:color w:val="auto"/>
          <w:lang w:val="en-US" w:eastAsia="en-US"/>
        </w:rPr>
        <w:t xml:space="preserve"> </w:t>
      </w:r>
      <w:proofErr w:type="spellStart"/>
      <w:r w:rsidRPr="009C70D7">
        <w:rPr>
          <w:rFonts w:eastAsia="Calibri"/>
          <w:color w:val="auto"/>
          <w:lang w:val="en-US" w:eastAsia="en-US"/>
        </w:rPr>
        <w:t>Komara</w:t>
      </w:r>
      <w:proofErr w:type="spellEnd"/>
      <w:r w:rsidRPr="009C70D7">
        <w:rPr>
          <w:rFonts w:eastAsia="Calibri"/>
          <w:color w:val="auto"/>
          <w:lang w:val="en-US" w:eastAsia="en-US"/>
        </w:rPr>
        <w:t xml:space="preserve"> I, </w:t>
      </w:r>
      <w:proofErr w:type="spellStart"/>
      <w:r w:rsidRPr="009C70D7">
        <w:rPr>
          <w:rFonts w:eastAsia="Calibri"/>
          <w:color w:val="auto"/>
          <w:lang w:val="en-US" w:eastAsia="en-US"/>
        </w:rPr>
        <w:t>Polut</w:t>
      </w:r>
      <w:proofErr w:type="spellEnd"/>
      <w:r w:rsidRPr="009C70D7">
        <w:rPr>
          <w:rFonts w:eastAsia="Calibri"/>
          <w:color w:val="auto"/>
          <w:lang w:val="en-US" w:eastAsia="en-US"/>
        </w:rPr>
        <w:t xml:space="preserve"> District, </w:t>
      </w:r>
      <w:proofErr w:type="spellStart"/>
      <w:proofErr w:type="gramStart"/>
      <w:r w:rsidRPr="009C70D7">
        <w:rPr>
          <w:rFonts w:eastAsia="Calibri"/>
          <w:color w:val="auto"/>
          <w:lang w:val="en-US" w:eastAsia="en-US"/>
        </w:rPr>
        <w:t>Takalar</w:t>
      </w:r>
      <w:proofErr w:type="spellEnd"/>
      <w:proofErr w:type="gramEnd"/>
      <w:r w:rsidRPr="009C70D7">
        <w:rPr>
          <w:rFonts w:eastAsia="Calibri"/>
          <w:color w:val="auto"/>
          <w:lang w:val="en-US" w:eastAsia="en-US"/>
        </w:rPr>
        <w:t xml:space="preserve"> Regency. According to information gathered, many students still did not understand the material according to the achievement of the minimum completeness criteria (KKM) that had been set, which was 75, because class V teachers did not use the learning model and still used the lecture method, especially in science subjects. From the 13 students in grade V, it is clear that the minimum completion standar</w:t>
      </w:r>
      <w:r w:rsidR="0080701C">
        <w:rPr>
          <w:rFonts w:eastAsia="Calibri"/>
          <w:color w:val="auto"/>
          <w:lang w:val="en-US" w:eastAsia="en-US"/>
        </w:rPr>
        <w:t xml:space="preserve">d </w:t>
      </w:r>
      <w:r w:rsidRPr="009C70D7">
        <w:rPr>
          <w:rFonts w:eastAsia="Calibri"/>
          <w:color w:val="auto"/>
          <w:lang w:val="en-US" w:eastAsia="en-US"/>
        </w:rPr>
        <w:t xml:space="preserve">of 75 has not been met. Of these, only 5 students scored 75 or higher or around (38.46%) the percentage of completion, and 8 students scored 75 or lower or around (61.53%) the percentage of incompleteness. Science courses were rated poorly in class V at UPT Public Elementary School 127 </w:t>
      </w:r>
      <w:proofErr w:type="spellStart"/>
      <w:r w:rsidRPr="009C70D7">
        <w:rPr>
          <w:rFonts w:eastAsia="Calibri"/>
          <w:color w:val="auto"/>
          <w:lang w:val="en-US" w:eastAsia="en-US"/>
        </w:rPr>
        <w:t>Inpres</w:t>
      </w:r>
      <w:proofErr w:type="spellEnd"/>
      <w:r w:rsidRPr="009C70D7">
        <w:rPr>
          <w:rFonts w:eastAsia="Calibri"/>
          <w:color w:val="auto"/>
          <w:lang w:val="en-US" w:eastAsia="en-US"/>
        </w:rPr>
        <w:t xml:space="preserve"> </w:t>
      </w:r>
      <w:proofErr w:type="spellStart"/>
      <w:r w:rsidRPr="009C70D7">
        <w:rPr>
          <w:rFonts w:eastAsia="Calibri"/>
          <w:color w:val="auto"/>
          <w:lang w:val="en-US" w:eastAsia="en-US"/>
        </w:rPr>
        <w:t>K</w:t>
      </w:r>
      <w:r>
        <w:rPr>
          <w:rFonts w:eastAsia="Calibri"/>
          <w:color w:val="auto"/>
          <w:lang w:val="en-US" w:eastAsia="en-US"/>
        </w:rPr>
        <w:t>omara</w:t>
      </w:r>
      <w:proofErr w:type="spellEnd"/>
      <w:r>
        <w:rPr>
          <w:rFonts w:eastAsia="Calibri"/>
          <w:color w:val="auto"/>
          <w:lang w:val="en-US" w:eastAsia="en-US"/>
        </w:rPr>
        <w:t xml:space="preserve"> I in the </w:t>
      </w:r>
      <w:proofErr w:type="spellStart"/>
      <w:r>
        <w:rPr>
          <w:rFonts w:eastAsia="Calibri"/>
          <w:color w:val="auto"/>
          <w:lang w:val="en-US" w:eastAsia="en-US"/>
        </w:rPr>
        <w:t>Takalar</w:t>
      </w:r>
      <w:proofErr w:type="spellEnd"/>
      <w:r>
        <w:rPr>
          <w:rFonts w:eastAsia="Calibri"/>
          <w:color w:val="auto"/>
          <w:lang w:val="en-US" w:eastAsia="en-US"/>
        </w:rPr>
        <w:t xml:space="preserve"> Regency.</w:t>
      </w:r>
    </w:p>
    <w:p w:rsidR="009C70D7" w:rsidRDefault="009C70D7" w:rsidP="009C70D7">
      <w:pPr>
        <w:spacing w:after="0" w:line="360" w:lineRule="auto"/>
        <w:ind w:left="0" w:firstLine="567"/>
        <w:rPr>
          <w:rFonts w:eastAsia="Calibri"/>
          <w:color w:val="auto"/>
          <w:lang w:val="en-US" w:eastAsia="en-US"/>
        </w:rPr>
      </w:pPr>
      <w:r w:rsidRPr="009C70D7">
        <w:rPr>
          <w:rFonts w:eastAsia="Calibri"/>
          <w:color w:val="auto"/>
          <w:lang w:val="en-US" w:eastAsia="en-US"/>
        </w:rPr>
        <w:t xml:space="preserve">Researchers saw or observed students while they learned science in order to reinforce the data. Based on the findings of these observations, it was determined that teacher factors and student factors were to blame for the children in class V at UPT Public Elementary School 127 </w:t>
      </w:r>
      <w:proofErr w:type="spellStart"/>
      <w:r w:rsidRPr="009C70D7">
        <w:rPr>
          <w:rFonts w:eastAsia="Calibri"/>
          <w:color w:val="auto"/>
          <w:lang w:val="en-US" w:eastAsia="en-US"/>
        </w:rPr>
        <w:t>Inpres</w:t>
      </w:r>
      <w:proofErr w:type="spellEnd"/>
      <w:r w:rsidRPr="009C70D7">
        <w:rPr>
          <w:rFonts w:eastAsia="Calibri"/>
          <w:color w:val="auto"/>
          <w:lang w:val="en-US" w:eastAsia="en-US"/>
        </w:rPr>
        <w:t xml:space="preserve"> </w:t>
      </w:r>
      <w:proofErr w:type="spellStart"/>
      <w:r w:rsidRPr="009C70D7">
        <w:rPr>
          <w:rFonts w:eastAsia="Calibri"/>
          <w:color w:val="auto"/>
          <w:lang w:val="en-US" w:eastAsia="en-US"/>
        </w:rPr>
        <w:t>Komara</w:t>
      </w:r>
      <w:proofErr w:type="spellEnd"/>
      <w:r w:rsidRPr="009C70D7">
        <w:rPr>
          <w:rFonts w:eastAsia="Calibri"/>
          <w:color w:val="auto"/>
          <w:lang w:val="en-US" w:eastAsia="en-US"/>
        </w:rPr>
        <w:t xml:space="preserve"> I, </w:t>
      </w:r>
      <w:proofErr w:type="spellStart"/>
      <w:r w:rsidRPr="009C70D7">
        <w:rPr>
          <w:rFonts w:eastAsia="Calibri"/>
          <w:color w:val="auto"/>
          <w:lang w:val="en-US" w:eastAsia="en-US"/>
        </w:rPr>
        <w:t>Polut</w:t>
      </w:r>
      <w:proofErr w:type="spellEnd"/>
      <w:r w:rsidRPr="009C70D7">
        <w:rPr>
          <w:rFonts w:eastAsia="Calibri"/>
          <w:color w:val="auto"/>
          <w:lang w:val="en-US" w:eastAsia="en-US"/>
        </w:rPr>
        <w:t xml:space="preserve"> District, </w:t>
      </w:r>
      <w:proofErr w:type="spellStart"/>
      <w:r w:rsidRPr="009C70D7">
        <w:rPr>
          <w:rFonts w:eastAsia="Calibri"/>
          <w:color w:val="auto"/>
          <w:lang w:val="en-US" w:eastAsia="en-US"/>
        </w:rPr>
        <w:t>Takalar</w:t>
      </w:r>
      <w:proofErr w:type="spellEnd"/>
      <w:r w:rsidRPr="009C70D7">
        <w:rPr>
          <w:rFonts w:eastAsia="Calibri"/>
          <w:color w:val="auto"/>
          <w:lang w:val="en-US" w:eastAsia="en-US"/>
        </w:rPr>
        <w:t xml:space="preserve"> Regency's lack of knowledge of scientific subject. One may infer the following from the instructor's factors: 1) </w:t>
      </w:r>
      <w:proofErr w:type="gramStart"/>
      <w:r w:rsidRPr="009C70D7">
        <w:rPr>
          <w:rFonts w:eastAsia="Calibri"/>
          <w:color w:val="auto"/>
          <w:lang w:val="en-US" w:eastAsia="en-US"/>
        </w:rPr>
        <w:t>The</w:t>
      </w:r>
      <w:proofErr w:type="gramEnd"/>
      <w:r w:rsidRPr="009C70D7">
        <w:rPr>
          <w:rFonts w:eastAsia="Calibri"/>
          <w:color w:val="auto"/>
          <w:lang w:val="en-US" w:eastAsia="en-US"/>
        </w:rPr>
        <w:t xml:space="preserve"> teacher does not </w:t>
      </w:r>
      <w:proofErr w:type="spellStart"/>
      <w:r w:rsidRPr="009C70D7">
        <w:rPr>
          <w:rFonts w:eastAsia="Calibri"/>
          <w:color w:val="auto"/>
          <w:lang w:val="en-US" w:eastAsia="en-US"/>
        </w:rPr>
        <w:t>utilise</w:t>
      </w:r>
      <w:proofErr w:type="spellEnd"/>
      <w:r w:rsidRPr="009C70D7">
        <w:rPr>
          <w:rFonts w:eastAsia="Calibri"/>
          <w:color w:val="auto"/>
          <w:lang w:val="en-US" w:eastAsia="en-US"/>
        </w:rPr>
        <w:t xml:space="preserve"> a learning model, just employs the lecture approach, and does not include media into the learning process while delivering scientific material. 2) The instructor does not encourage students who are primarily involved in the learning process and do not use media in their learning. 3) The teacher does not encourage students who are mostly passive in the learning process and do not use media in their learning. As for the student elements, they are as follows: 1) students need to be more actively engaged in the learning process, 2) students need to be more motivated to participate in the learning process actively, and 3) students feel bored and uninterested throughout the learning process.</w:t>
      </w:r>
    </w:p>
    <w:p w:rsidR="009C70D7" w:rsidRPr="009C70D7" w:rsidRDefault="009C70D7" w:rsidP="009C70D7">
      <w:pPr>
        <w:spacing w:after="0" w:line="360" w:lineRule="auto"/>
        <w:ind w:left="0" w:firstLine="567"/>
        <w:rPr>
          <w:rFonts w:eastAsia="Calibri"/>
          <w:color w:val="auto"/>
          <w:lang w:val="en-US" w:eastAsia="en-US"/>
        </w:rPr>
      </w:pPr>
      <w:r w:rsidRPr="009C70D7">
        <w:rPr>
          <w:rFonts w:eastAsia="Calibri"/>
          <w:color w:val="auto"/>
          <w:lang w:val="en-US" w:eastAsia="en-US"/>
        </w:rPr>
        <w:lastRenderedPageBreak/>
        <w:t xml:space="preserve">If this issue is resolved later, it will have less of an effect on the learning process and student comprehension, particularly when it comes to science. This makes it the responsibility of instructors to adapt learning models to the fundamental skills they seek to instill in their pupils. For the aforementioned issues, one learning model that may be used as an alternative is the Demonstration learning model in the study of natural sciences. To ensure that pupils comprehend practical topics, teachers often use the demonstrative learning paradigm. Some research findings have also examined </w:t>
      </w:r>
      <w:proofErr w:type="spellStart"/>
      <w:r w:rsidRPr="009C70D7">
        <w:rPr>
          <w:rFonts w:eastAsia="Calibri"/>
          <w:color w:val="auto"/>
          <w:lang w:val="en-US" w:eastAsia="en-US"/>
        </w:rPr>
        <w:t>Sumarni's</w:t>
      </w:r>
      <w:proofErr w:type="spellEnd"/>
      <w:r w:rsidRPr="009C70D7">
        <w:rPr>
          <w:rFonts w:eastAsia="Calibri"/>
          <w:color w:val="auto"/>
          <w:lang w:val="en-US" w:eastAsia="en-US"/>
        </w:rPr>
        <w:t xml:space="preserve"> demonstration model study from 2016 titled "Application of the Demonstration Learning Model to Improve Class IV Science Learning Outcomes." The findings also demonstrated the Demonstration Model's capacity to enhance student learning. All students should be engaged in the learning process when the demonstrative learning approach is used in scientific instruction. Particularly in the study of science, learning outcomes fulfil the minimal completion criterion standards (KKM). In response to these issues, the researcher is considering performing classroom action study under the title Application of Demonstration Learning Models to Improve Student Learning Outcomes in Class V Science Subject UPT Public Elementary School 127 </w:t>
      </w:r>
      <w:proofErr w:type="spellStart"/>
      <w:r w:rsidRPr="009C70D7">
        <w:rPr>
          <w:rFonts w:eastAsia="Calibri"/>
          <w:color w:val="auto"/>
          <w:lang w:val="en-US" w:eastAsia="en-US"/>
        </w:rPr>
        <w:t>Inpres</w:t>
      </w:r>
      <w:proofErr w:type="spellEnd"/>
      <w:r w:rsidRPr="009C70D7">
        <w:rPr>
          <w:rFonts w:eastAsia="Calibri"/>
          <w:color w:val="auto"/>
          <w:lang w:val="en-US" w:eastAsia="en-US"/>
        </w:rPr>
        <w:t xml:space="preserve"> </w:t>
      </w:r>
      <w:proofErr w:type="spellStart"/>
      <w:r w:rsidRPr="009C70D7">
        <w:rPr>
          <w:rFonts w:eastAsia="Calibri"/>
          <w:color w:val="auto"/>
          <w:lang w:val="en-US" w:eastAsia="en-US"/>
        </w:rPr>
        <w:t>Komara</w:t>
      </w:r>
      <w:proofErr w:type="spellEnd"/>
      <w:r w:rsidRPr="009C70D7">
        <w:rPr>
          <w:rFonts w:eastAsia="Calibri"/>
          <w:color w:val="auto"/>
          <w:lang w:val="en-US" w:eastAsia="en-US"/>
        </w:rPr>
        <w:t xml:space="preserve"> I.</w:t>
      </w:r>
    </w:p>
    <w:p w:rsidR="0091554A" w:rsidRDefault="0091554A">
      <w:pPr>
        <w:spacing w:after="5" w:line="240" w:lineRule="auto"/>
        <w:ind w:left="0" w:firstLine="0"/>
        <w:jc w:val="left"/>
        <w:rPr>
          <w:sz w:val="33"/>
        </w:rPr>
      </w:pPr>
    </w:p>
    <w:p w:rsidR="006C61E4" w:rsidRPr="002C074D" w:rsidRDefault="00A219DD" w:rsidP="0091554A">
      <w:pPr>
        <w:spacing w:after="0" w:line="240" w:lineRule="auto"/>
        <w:ind w:left="0" w:firstLine="0"/>
        <w:jc w:val="left"/>
        <w:rPr>
          <w:lang w:val="en-US"/>
        </w:rPr>
      </w:pPr>
      <w:r>
        <w:rPr>
          <w:sz w:val="33"/>
        </w:rPr>
        <w:t xml:space="preserve"> </w:t>
      </w:r>
      <w:r w:rsidR="002C074D">
        <w:rPr>
          <w:sz w:val="33"/>
          <w:lang w:val="en-US"/>
        </w:rPr>
        <w:t xml:space="preserve">  </w:t>
      </w:r>
    </w:p>
    <w:p w:rsidR="006C61E4" w:rsidRDefault="008249DC">
      <w:pPr>
        <w:pStyle w:val="Heading1"/>
      </w:pPr>
      <w:r w:rsidRPr="008249DC">
        <w:t>METHOD</w:t>
      </w:r>
    </w:p>
    <w:p w:rsidR="008044C4" w:rsidRPr="0091554A" w:rsidRDefault="008044C4" w:rsidP="008044C4">
      <w:pPr>
        <w:spacing w:after="194" w:line="360" w:lineRule="auto"/>
        <w:ind w:left="-15" w:firstLine="567"/>
        <w:rPr>
          <w:lang w:val="en-US"/>
        </w:rPr>
      </w:pPr>
      <w:r w:rsidRPr="008044C4">
        <w:rPr>
          <w:lang w:val="en-US"/>
        </w:rPr>
        <w:t xml:space="preserve">The methodology in this research is qualitative. Classroom action research is the methodology employed. Action research that is carried out in a classroom is known as classroom action research. Action research in the classroom involves four key phases: (1) planning; (2) implementation; (3) observation; and (4) reflection. The study was conducted at UPT Public Elementary School 127 </w:t>
      </w:r>
      <w:proofErr w:type="spellStart"/>
      <w:r w:rsidRPr="008044C4">
        <w:rPr>
          <w:lang w:val="en-US"/>
        </w:rPr>
        <w:t>Inpres</w:t>
      </w:r>
      <w:proofErr w:type="spellEnd"/>
      <w:r w:rsidRPr="008044C4">
        <w:rPr>
          <w:lang w:val="en-US"/>
        </w:rPr>
        <w:t xml:space="preserve"> </w:t>
      </w:r>
      <w:proofErr w:type="spellStart"/>
      <w:r w:rsidRPr="008044C4">
        <w:rPr>
          <w:lang w:val="en-US"/>
        </w:rPr>
        <w:t>Komara</w:t>
      </w:r>
      <w:proofErr w:type="spellEnd"/>
      <w:r w:rsidRPr="008044C4">
        <w:rPr>
          <w:lang w:val="en-US"/>
        </w:rPr>
        <w:t xml:space="preserve"> I during the even semester of the 2022–2023 academic year in March 2023 over a period of two weeks. The participants in this research were all of the fifth-grade students and instructors of UPT Public Elementary School 127 </w:t>
      </w:r>
      <w:proofErr w:type="spellStart"/>
      <w:r w:rsidRPr="008044C4">
        <w:rPr>
          <w:lang w:val="en-US"/>
        </w:rPr>
        <w:t>Inpres</w:t>
      </w:r>
      <w:proofErr w:type="spellEnd"/>
      <w:r w:rsidRPr="008044C4">
        <w:rPr>
          <w:lang w:val="en-US"/>
        </w:rPr>
        <w:t xml:space="preserve"> </w:t>
      </w:r>
      <w:proofErr w:type="spellStart"/>
      <w:r w:rsidRPr="008044C4">
        <w:rPr>
          <w:lang w:val="en-US"/>
        </w:rPr>
        <w:t>Komara</w:t>
      </w:r>
      <w:proofErr w:type="spellEnd"/>
      <w:r w:rsidRPr="008044C4">
        <w:rPr>
          <w:lang w:val="en-US"/>
        </w:rPr>
        <w:t xml:space="preserve"> I in the </w:t>
      </w:r>
      <w:proofErr w:type="spellStart"/>
      <w:r w:rsidRPr="008044C4">
        <w:rPr>
          <w:lang w:val="en-US"/>
        </w:rPr>
        <w:t>Takalar</w:t>
      </w:r>
      <w:proofErr w:type="spellEnd"/>
      <w:r w:rsidRPr="008044C4">
        <w:rPr>
          <w:lang w:val="en-US"/>
        </w:rPr>
        <w:t xml:space="preserve"> Regency's </w:t>
      </w:r>
      <w:proofErr w:type="spellStart"/>
      <w:r w:rsidRPr="008044C4">
        <w:rPr>
          <w:lang w:val="en-US"/>
        </w:rPr>
        <w:t>Polut</w:t>
      </w:r>
      <w:proofErr w:type="spellEnd"/>
      <w:r w:rsidRPr="008044C4">
        <w:rPr>
          <w:lang w:val="en-US"/>
        </w:rPr>
        <w:t xml:space="preserve"> District. Thirteen fifth-grade children were employed as participants for this research, including one instructor, five females, and eight male pupils. Referring to the following table, the following factors are used to assess the effectiveness of the learning process:</w:t>
      </w:r>
    </w:p>
    <w:p w:rsidR="0091554A" w:rsidRPr="00C60435" w:rsidRDefault="004A4435" w:rsidP="004A4435">
      <w:pPr>
        <w:spacing w:after="194" w:line="240" w:lineRule="auto"/>
        <w:ind w:left="1080" w:hanging="990"/>
      </w:pPr>
      <w:r w:rsidRPr="004A4435">
        <w:rPr>
          <w:b/>
        </w:rPr>
        <w:t>Table 3.1.</w:t>
      </w:r>
      <w:r w:rsidRPr="004A4435">
        <w:t xml:space="preserve"> Indicators of the success of the learning process according to the Decree of the Ministry of National Education.</w:t>
      </w:r>
    </w:p>
    <w:tbl>
      <w:tblPr>
        <w:tblStyle w:val="TableGrid0"/>
        <w:tblW w:w="685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361"/>
        <w:gridCol w:w="2493"/>
      </w:tblGrid>
      <w:tr w:rsidR="00C60435" w:rsidRPr="00C60435" w:rsidTr="004A4435">
        <w:trPr>
          <w:trHeight w:val="283"/>
          <w:jc w:val="center"/>
        </w:trPr>
        <w:tc>
          <w:tcPr>
            <w:tcW w:w="4361" w:type="dxa"/>
          </w:tcPr>
          <w:p w:rsidR="00C60435" w:rsidRPr="00C60435" w:rsidRDefault="004A4435" w:rsidP="00C60435">
            <w:pPr>
              <w:pStyle w:val="ListParagraph"/>
              <w:spacing w:line="240" w:lineRule="auto"/>
              <w:ind w:left="0"/>
              <w:jc w:val="center"/>
              <w:rPr>
                <w:b/>
                <w:szCs w:val="24"/>
              </w:rPr>
            </w:pPr>
            <w:r w:rsidRPr="004A4435">
              <w:rPr>
                <w:b/>
                <w:szCs w:val="24"/>
              </w:rPr>
              <w:t>Success Rate</w:t>
            </w:r>
          </w:p>
        </w:tc>
        <w:tc>
          <w:tcPr>
            <w:tcW w:w="2493" w:type="dxa"/>
          </w:tcPr>
          <w:p w:rsidR="00C60435" w:rsidRPr="00C60435" w:rsidRDefault="00C60435" w:rsidP="00C60435">
            <w:pPr>
              <w:pStyle w:val="ListParagraph"/>
              <w:spacing w:line="240" w:lineRule="auto"/>
              <w:ind w:left="0"/>
              <w:rPr>
                <w:b/>
                <w:szCs w:val="24"/>
              </w:rPr>
            </w:pPr>
            <w:r w:rsidRPr="00C60435">
              <w:rPr>
                <w:b/>
                <w:szCs w:val="24"/>
              </w:rPr>
              <w:t xml:space="preserve">            </w:t>
            </w:r>
            <w:r w:rsidR="004A4435" w:rsidRPr="00C60435">
              <w:rPr>
                <w:b/>
                <w:szCs w:val="24"/>
              </w:rPr>
              <w:t>Qualification</w:t>
            </w:r>
          </w:p>
        </w:tc>
      </w:tr>
      <w:tr w:rsidR="004A4435" w:rsidRPr="00C60435" w:rsidTr="004A4435">
        <w:trPr>
          <w:trHeight w:val="283"/>
          <w:jc w:val="center"/>
        </w:trPr>
        <w:tc>
          <w:tcPr>
            <w:tcW w:w="4361" w:type="dxa"/>
          </w:tcPr>
          <w:p w:rsidR="004A4435" w:rsidRPr="00C60435" w:rsidRDefault="004A4435" w:rsidP="004A4435">
            <w:pPr>
              <w:pStyle w:val="ListParagraph"/>
              <w:spacing w:line="240" w:lineRule="auto"/>
              <w:ind w:left="0"/>
              <w:jc w:val="center"/>
              <w:rPr>
                <w:szCs w:val="24"/>
              </w:rPr>
            </w:pPr>
            <w:r w:rsidRPr="00C60435">
              <w:rPr>
                <w:szCs w:val="24"/>
              </w:rPr>
              <w:t>(85 – 100) %</w:t>
            </w:r>
          </w:p>
        </w:tc>
        <w:tc>
          <w:tcPr>
            <w:tcW w:w="2493" w:type="dxa"/>
          </w:tcPr>
          <w:p w:rsidR="004A4435" w:rsidRPr="00C60435" w:rsidRDefault="004A4435" w:rsidP="004A4435">
            <w:pPr>
              <w:pStyle w:val="ListParagraph"/>
              <w:tabs>
                <w:tab w:val="left" w:pos="742"/>
              </w:tabs>
              <w:spacing w:line="240" w:lineRule="auto"/>
              <w:ind w:left="0"/>
              <w:jc w:val="center"/>
              <w:rPr>
                <w:szCs w:val="24"/>
              </w:rPr>
            </w:pPr>
            <w:r>
              <w:rPr>
                <w:szCs w:val="24"/>
              </w:rPr>
              <w:t>Very Good</w:t>
            </w:r>
          </w:p>
        </w:tc>
      </w:tr>
      <w:tr w:rsidR="004A4435" w:rsidRPr="00C60435" w:rsidTr="004A4435">
        <w:trPr>
          <w:trHeight w:val="283"/>
          <w:jc w:val="center"/>
        </w:trPr>
        <w:tc>
          <w:tcPr>
            <w:tcW w:w="4361" w:type="dxa"/>
          </w:tcPr>
          <w:p w:rsidR="004A4435" w:rsidRPr="00C60435" w:rsidRDefault="004A4435" w:rsidP="004A4435">
            <w:pPr>
              <w:pStyle w:val="ListParagraph"/>
              <w:spacing w:line="240" w:lineRule="auto"/>
              <w:ind w:left="0"/>
              <w:jc w:val="center"/>
              <w:rPr>
                <w:szCs w:val="24"/>
              </w:rPr>
            </w:pPr>
            <w:r w:rsidRPr="00C60435">
              <w:rPr>
                <w:szCs w:val="24"/>
              </w:rPr>
              <w:t>(76 – 84) %</w:t>
            </w:r>
          </w:p>
        </w:tc>
        <w:tc>
          <w:tcPr>
            <w:tcW w:w="2493" w:type="dxa"/>
          </w:tcPr>
          <w:p w:rsidR="004A4435" w:rsidRPr="00C60435" w:rsidRDefault="004A4435" w:rsidP="004A4435">
            <w:pPr>
              <w:pStyle w:val="ListParagraph"/>
              <w:tabs>
                <w:tab w:val="left" w:pos="742"/>
              </w:tabs>
              <w:spacing w:line="240" w:lineRule="auto"/>
              <w:ind w:left="0"/>
              <w:jc w:val="center"/>
              <w:rPr>
                <w:szCs w:val="24"/>
              </w:rPr>
            </w:pPr>
            <w:r>
              <w:rPr>
                <w:szCs w:val="24"/>
              </w:rPr>
              <w:t>Good</w:t>
            </w:r>
          </w:p>
        </w:tc>
      </w:tr>
      <w:tr w:rsidR="004A4435" w:rsidRPr="00C60435" w:rsidTr="004A4435">
        <w:trPr>
          <w:trHeight w:val="283"/>
          <w:jc w:val="center"/>
        </w:trPr>
        <w:tc>
          <w:tcPr>
            <w:tcW w:w="4361" w:type="dxa"/>
          </w:tcPr>
          <w:p w:rsidR="004A4435" w:rsidRPr="00C60435" w:rsidRDefault="004A4435" w:rsidP="004A4435">
            <w:pPr>
              <w:pStyle w:val="ListParagraph"/>
              <w:spacing w:line="240" w:lineRule="auto"/>
              <w:ind w:left="0"/>
              <w:jc w:val="center"/>
              <w:rPr>
                <w:szCs w:val="24"/>
              </w:rPr>
            </w:pPr>
            <w:r w:rsidRPr="00C60435">
              <w:rPr>
                <w:szCs w:val="24"/>
              </w:rPr>
              <w:t>(60 – 75) %</w:t>
            </w:r>
          </w:p>
        </w:tc>
        <w:tc>
          <w:tcPr>
            <w:tcW w:w="2493" w:type="dxa"/>
          </w:tcPr>
          <w:p w:rsidR="004A4435" w:rsidRPr="00C60435" w:rsidRDefault="004A4435" w:rsidP="004A4435">
            <w:pPr>
              <w:pStyle w:val="ListParagraph"/>
              <w:tabs>
                <w:tab w:val="left" w:pos="742"/>
              </w:tabs>
              <w:spacing w:line="240" w:lineRule="auto"/>
              <w:ind w:left="0"/>
              <w:jc w:val="center"/>
              <w:rPr>
                <w:szCs w:val="24"/>
              </w:rPr>
            </w:pPr>
            <w:r w:rsidRPr="00C60435">
              <w:rPr>
                <w:szCs w:val="24"/>
              </w:rPr>
              <w:t>Enough</w:t>
            </w:r>
          </w:p>
        </w:tc>
      </w:tr>
      <w:tr w:rsidR="004A4435" w:rsidRPr="00C60435" w:rsidTr="004A4435">
        <w:trPr>
          <w:trHeight w:val="283"/>
          <w:jc w:val="center"/>
        </w:trPr>
        <w:tc>
          <w:tcPr>
            <w:tcW w:w="4361" w:type="dxa"/>
          </w:tcPr>
          <w:p w:rsidR="004A4435" w:rsidRPr="00C60435" w:rsidRDefault="004A4435" w:rsidP="004A4435">
            <w:pPr>
              <w:pStyle w:val="ListParagraph"/>
              <w:spacing w:line="240" w:lineRule="auto"/>
              <w:ind w:left="0"/>
              <w:jc w:val="center"/>
              <w:rPr>
                <w:szCs w:val="24"/>
              </w:rPr>
            </w:pPr>
            <w:r w:rsidRPr="00C60435">
              <w:rPr>
                <w:szCs w:val="24"/>
              </w:rPr>
              <w:t>(0 – 59)  %</w:t>
            </w:r>
          </w:p>
        </w:tc>
        <w:tc>
          <w:tcPr>
            <w:tcW w:w="2493" w:type="dxa"/>
          </w:tcPr>
          <w:p w:rsidR="004A4435" w:rsidRPr="00C60435" w:rsidRDefault="004A4435" w:rsidP="004A4435">
            <w:pPr>
              <w:pStyle w:val="ListParagraph"/>
              <w:tabs>
                <w:tab w:val="left" w:pos="742"/>
              </w:tabs>
              <w:spacing w:line="240" w:lineRule="auto"/>
              <w:ind w:left="0"/>
              <w:jc w:val="center"/>
              <w:rPr>
                <w:szCs w:val="24"/>
              </w:rPr>
            </w:pPr>
            <w:r w:rsidRPr="00C60435">
              <w:rPr>
                <w:szCs w:val="24"/>
              </w:rPr>
              <w:t>Less</w:t>
            </w:r>
          </w:p>
        </w:tc>
      </w:tr>
    </w:tbl>
    <w:p w:rsidR="004A4435" w:rsidRPr="004A4435" w:rsidRDefault="004A4435" w:rsidP="00C365A6">
      <w:pPr>
        <w:tabs>
          <w:tab w:val="left" w:pos="450"/>
          <w:tab w:val="left" w:pos="1260"/>
        </w:tabs>
        <w:spacing w:line="240" w:lineRule="auto"/>
        <w:ind w:left="720" w:firstLine="540"/>
        <w:rPr>
          <w:szCs w:val="24"/>
          <w:lang w:val="en"/>
        </w:rPr>
      </w:pPr>
      <w:r w:rsidRPr="004A4435">
        <w:rPr>
          <w:szCs w:val="24"/>
          <w:lang w:val="en"/>
        </w:rPr>
        <w:t xml:space="preserve">Source: adapted from </w:t>
      </w:r>
      <w:r w:rsidR="00A235BB">
        <w:rPr>
          <w:szCs w:val="24"/>
          <w:lang w:val="en"/>
        </w:rPr>
        <w:fldChar w:fldCharType="begin" w:fldLock="1"/>
      </w:r>
      <w:r w:rsidR="00C365A6">
        <w:rPr>
          <w:szCs w:val="24"/>
          <w:lang w:val="en"/>
        </w:rPr>
        <w:instrText>ADDIN CSL_CITATION {"citationItems":[{"id":"ITEM-1","itemData":{"author":[{"dropping-particle":"","family":"M.Tampubolon","given":"Saur","non-dropping-particle":"","parse-names":false,"suffix":""}],"id":"ITEM-1","issued":{"date-parts":[["2014"]]},"publisher":"Erlangga","publisher-place":"Purwokerto","title":"PENELITIAN TINDAKAN KELAS","type":"book"},"uris":["http://www.mendeley.com/documents/?uuid=90dd8853-5e9b-4b95-883c-f070ade0a7eb"]}],"mendeley":{"formattedCitation":"(M.Tampubolon, 2014)","plainTextFormattedCitation":"(M.Tampubolon, 2014)","previouslyFormattedCitation":"(M.Tampubolon, 2014)"},"properties":{"noteIndex":0},"schema":"https://github.com/citation-style-language/schema/raw/master/csl-citation.json"}</w:instrText>
      </w:r>
      <w:r w:rsidR="00A235BB">
        <w:rPr>
          <w:szCs w:val="24"/>
          <w:lang w:val="en"/>
        </w:rPr>
        <w:fldChar w:fldCharType="separate"/>
      </w:r>
      <w:r w:rsidR="00A235BB" w:rsidRPr="00A235BB">
        <w:rPr>
          <w:noProof/>
          <w:szCs w:val="24"/>
          <w:lang w:val="en"/>
        </w:rPr>
        <w:t>(M.Tampubolon, 2014)</w:t>
      </w:r>
      <w:r w:rsidR="00A235BB">
        <w:rPr>
          <w:szCs w:val="24"/>
          <w:lang w:val="en"/>
        </w:rPr>
        <w:fldChar w:fldCharType="end"/>
      </w:r>
    </w:p>
    <w:p w:rsidR="008044C4" w:rsidRDefault="008044C4" w:rsidP="008044C4">
      <w:pPr>
        <w:spacing w:after="0" w:line="360" w:lineRule="auto"/>
        <w:ind w:left="0" w:firstLine="720"/>
        <w:contextualSpacing/>
        <w:rPr>
          <w:szCs w:val="24"/>
        </w:rPr>
      </w:pPr>
      <w:r w:rsidRPr="008044C4">
        <w:rPr>
          <w:szCs w:val="24"/>
        </w:rPr>
        <w:t>If 76% of students get grades of 75 or above, then the study has been effective from the perspective of learning outcomes, and there is no need to go on to the next cycle. The following table shows categories for completeness.</w:t>
      </w:r>
    </w:p>
    <w:p w:rsidR="00C60435" w:rsidRPr="00C60435" w:rsidRDefault="004A4435" w:rsidP="00C60435">
      <w:pPr>
        <w:spacing w:after="0" w:line="240" w:lineRule="auto"/>
        <w:ind w:left="0" w:firstLine="0"/>
        <w:contextualSpacing/>
        <w:rPr>
          <w:szCs w:val="24"/>
        </w:rPr>
      </w:pPr>
      <w:r w:rsidRPr="004A4435">
        <w:rPr>
          <w:b/>
          <w:szCs w:val="24"/>
        </w:rPr>
        <w:lastRenderedPageBreak/>
        <w:t xml:space="preserve">Table 3.2 </w:t>
      </w:r>
      <w:r w:rsidRPr="00A03127">
        <w:rPr>
          <w:szCs w:val="24"/>
        </w:rPr>
        <w:t>Completeness Categories</w:t>
      </w:r>
    </w:p>
    <w:tbl>
      <w:tblPr>
        <w:tblStyle w:val="TableGrid0"/>
        <w:tblW w:w="7286" w:type="dxa"/>
        <w:tblInd w:w="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3"/>
        <w:gridCol w:w="2493"/>
      </w:tblGrid>
      <w:tr w:rsidR="00C60435" w:rsidRPr="00C60435" w:rsidTr="008C0546">
        <w:trPr>
          <w:trHeight w:val="283"/>
        </w:trPr>
        <w:tc>
          <w:tcPr>
            <w:tcW w:w="4793" w:type="dxa"/>
          </w:tcPr>
          <w:p w:rsidR="00C60435" w:rsidRPr="00C60435" w:rsidRDefault="00C60435" w:rsidP="00C60435">
            <w:pPr>
              <w:pStyle w:val="ListParagraph"/>
              <w:spacing w:line="240" w:lineRule="auto"/>
              <w:ind w:left="0"/>
              <w:jc w:val="center"/>
              <w:rPr>
                <w:b/>
                <w:szCs w:val="24"/>
              </w:rPr>
            </w:pPr>
            <w:r w:rsidRPr="00C60435">
              <w:rPr>
                <w:b/>
                <w:szCs w:val="24"/>
              </w:rPr>
              <w:t>Interval</w:t>
            </w:r>
          </w:p>
        </w:tc>
        <w:tc>
          <w:tcPr>
            <w:tcW w:w="2493" w:type="dxa"/>
          </w:tcPr>
          <w:p w:rsidR="00C60435" w:rsidRPr="00C60435" w:rsidRDefault="00C60435" w:rsidP="00C60435">
            <w:pPr>
              <w:pStyle w:val="ListParagraph"/>
              <w:spacing w:line="240" w:lineRule="auto"/>
              <w:ind w:left="0"/>
              <w:rPr>
                <w:b/>
                <w:szCs w:val="24"/>
              </w:rPr>
            </w:pPr>
            <w:r w:rsidRPr="00C60435">
              <w:rPr>
                <w:b/>
                <w:szCs w:val="24"/>
              </w:rPr>
              <w:t xml:space="preserve">            Kategori</w:t>
            </w:r>
          </w:p>
        </w:tc>
      </w:tr>
      <w:tr w:rsidR="00A03127" w:rsidRPr="00C60435" w:rsidTr="008C0546">
        <w:trPr>
          <w:trHeight w:val="283"/>
        </w:trPr>
        <w:tc>
          <w:tcPr>
            <w:tcW w:w="4793" w:type="dxa"/>
          </w:tcPr>
          <w:p w:rsidR="00A03127" w:rsidRPr="00C60435" w:rsidRDefault="00A03127" w:rsidP="00A03127">
            <w:pPr>
              <w:pStyle w:val="ListParagraph"/>
              <w:spacing w:line="240" w:lineRule="auto"/>
              <w:ind w:left="0"/>
              <w:jc w:val="center"/>
              <w:rPr>
                <w:szCs w:val="24"/>
              </w:rPr>
            </w:pPr>
            <w:r w:rsidRPr="00C60435">
              <w:rPr>
                <w:szCs w:val="24"/>
              </w:rPr>
              <w:t>76 – 100</w:t>
            </w:r>
          </w:p>
        </w:tc>
        <w:tc>
          <w:tcPr>
            <w:tcW w:w="2493" w:type="dxa"/>
          </w:tcPr>
          <w:p w:rsidR="00A03127" w:rsidRPr="00C60435" w:rsidRDefault="00A03127" w:rsidP="00C365A6">
            <w:pPr>
              <w:pStyle w:val="ListParagraph"/>
              <w:tabs>
                <w:tab w:val="left" w:pos="742"/>
              </w:tabs>
              <w:spacing w:line="240" w:lineRule="auto"/>
              <w:ind w:left="0"/>
              <w:jc w:val="center"/>
              <w:rPr>
                <w:szCs w:val="24"/>
              </w:rPr>
            </w:pPr>
            <w:r>
              <w:rPr>
                <w:szCs w:val="24"/>
                <w:lang w:val="en-US"/>
              </w:rPr>
              <w:t>C</w:t>
            </w:r>
            <w:r w:rsidRPr="00C60435">
              <w:rPr>
                <w:szCs w:val="24"/>
              </w:rPr>
              <w:t>omplete</w:t>
            </w:r>
          </w:p>
        </w:tc>
      </w:tr>
      <w:tr w:rsidR="00A03127" w:rsidRPr="00C60435" w:rsidTr="008C0546">
        <w:trPr>
          <w:trHeight w:val="283"/>
        </w:trPr>
        <w:tc>
          <w:tcPr>
            <w:tcW w:w="4793" w:type="dxa"/>
          </w:tcPr>
          <w:p w:rsidR="00A03127" w:rsidRPr="00C60435" w:rsidRDefault="00A03127" w:rsidP="00A03127">
            <w:pPr>
              <w:pStyle w:val="ListParagraph"/>
              <w:spacing w:line="240" w:lineRule="auto"/>
              <w:ind w:left="0"/>
              <w:jc w:val="center"/>
              <w:rPr>
                <w:szCs w:val="24"/>
              </w:rPr>
            </w:pPr>
            <w:r w:rsidRPr="00C60435">
              <w:rPr>
                <w:szCs w:val="24"/>
              </w:rPr>
              <w:t>0 – 75</w:t>
            </w:r>
          </w:p>
        </w:tc>
        <w:tc>
          <w:tcPr>
            <w:tcW w:w="2493" w:type="dxa"/>
          </w:tcPr>
          <w:p w:rsidR="00A03127" w:rsidRPr="00C60435" w:rsidRDefault="00A03127" w:rsidP="00C365A6">
            <w:pPr>
              <w:pStyle w:val="ListParagraph"/>
              <w:tabs>
                <w:tab w:val="left" w:pos="742"/>
              </w:tabs>
              <w:spacing w:line="240" w:lineRule="auto"/>
              <w:ind w:left="0"/>
              <w:jc w:val="center"/>
              <w:rPr>
                <w:szCs w:val="24"/>
              </w:rPr>
            </w:pPr>
            <w:r w:rsidRPr="00C60435">
              <w:rPr>
                <w:szCs w:val="24"/>
              </w:rPr>
              <w:t>Not Completed</w:t>
            </w:r>
          </w:p>
        </w:tc>
      </w:tr>
    </w:tbl>
    <w:p w:rsidR="00A03127" w:rsidRPr="00A03127" w:rsidRDefault="00A03127" w:rsidP="00A03127">
      <w:pPr>
        <w:tabs>
          <w:tab w:val="left" w:pos="1260"/>
        </w:tabs>
        <w:spacing w:line="240" w:lineRule="auto"/>
        <w:rPr>
          <w:i/>
          <w:iCs/>
          <w:szCs w:val="24"/>
          <w:lang w:val="en"/>
        </w:rPr>
      </w:pPr>
      <w:r w:rsidRPr="00A03127">
        <w:rPr>
          <w:iCs/>
          <w:szCs w:val="24"/>
          <w:lang w:val="en"/>
        </w:rPr>
        <w:t>Source: adapted from</w:t>
      </w:r>
      <w:r w:rsidR="00A235BB">
        <w:rPr>
          <w:iCs/>
          <w:szCs w:val="24"/>
          <w:lang w:val="en"/>
        </w:rPr>
        <w:t xml:space="preserve"> </w:t>
      </w:r>
      <w:r w:rsidR="00A235BB">
        <w:rPr>
          <w:i/>
          <w:iCs/>
          <w:szCs w:val="24"/>
          <w:lang w:val="en"/>
        </w:rPr>
        <w:fldChar w:fldCharType="begin" w:fldLock="1"/>
      </w:r>
      <w:r w:rsidR="00A235BB">
        <w:rPr>
          <w:i/>
          <w:iCs/>
          <w:szCs w:val="24"/>
          <w:lang w:val="en"/>
        </w:rPr>
        <w:instrText>ADDIN CSL_CITATION {"citationItems":[{"id":"ITEM-1","itemData":{"ISBN":"9786022175957","author":[{"dropping-particle":"","family":"Arikunto","given":"S","non-dropping-particle":"","parse-names":false,"suffix":""}],"id":"ITEM-1","issued":{"date-parts":[["2021"]]},"number-of-pages":"1-260","publisher":"Bumi Aksara","publisher-place":"Jakarta","title":"Penelitian Tindakan Kelas: Edisi Revisi","type":"book"},"uris":["http://www.mendeley.com/documents/?uuid=47f6fd5e-7b99-4f74-a942-5c16b5218ff9"]}],"mendeley":{"formattedCitation":"(Arikunto, 2021)","plainTextFormattedCitation":"(Arikunto, 2021)","previouslyFormattedCitation":"(Arikunto, 2021)"},"properties":{"noteIndex":0},"schema":"https://github.com/citation-style-language/schema/raw/master/csl-citation.json"}</w:instrText>
      </w:r>
      <w:r w:rsidR="00A235BB">
        <w:rPr>
          <w:i/>
          <w:iCs/>
          <w:szCs w:val="24"/>
          <w:lang w:val="en"/>
        </w:rPr>
        <w:fldChar w:fldCharType="separate"/>
      </w:r>
      <w:r w:rsidR="00A235BB" w:rsidRPr="00A235BB">
        <w:rPr>
          <w:iCs/>
          <w:noProof/>
          <w:szCs w:val="24"/>
          <w:lang w:val="en"/>
        </w:rPr>
        <w:t>(Arikunto, 2021)</w:t>
      </w:r>
      <w:r w:rsidR="00A235BB">
        <w:rPr>
          <w:i/>
          <w:iCs/>
          <w:szCs w:val="24"/>
          <w:lang w:val="en"/>
        </w:rPr>
        <w:fldChar w:fldCharType="end"/>
      </w:r>
    </w:p>
    <w:p w:rsidR="00A03127" w:rsidRPr="00A03127" w:rsidRDefault="00A03127" w:rsidP="00C60435">
      <w:pPr>
        <w:tabs>
          <w:tab w:val="left" w:pos="1260"/>
        </w:tabs>
        <w:spacing w:line="240" w:lineRule="auto"/>
        <w:rPr>
          <w:szCs w:val="24"/>
        </w:rPr>
      </w:pPr>
    </w:p>
    <w:p w:rsidR="00C60435" w:rsidRDefault="00C60435" w:rsidP="00C60435">
      <w:pPr>
        <w:spacing w:after="0" w:line="240" w:lineRule="auto"/>
        <w:ind w:left="0" w:firstLine="0"/>
        <w:jc w:val="left"/>
        <w:rPr>
          <w:b/>
        </w:rPr>
      </w:pPr>
    </w:p>
    <w:p w:rsidR="00A03127" w:rsidRDefault="00A03127" w:rsidP="00D52BF2">
      <w:pPr>
        <w:spacing w:line="276" w:lineRule="auto"/>
        <w:ind w:left="0" w:firstLine="0"/>
        <w:rPr>
          <w:b/>
        </w:rPr>
      </w:pPr>
      <w:r w:rsidRPr="00A03127">
        <w:rPr>
          <w:b/>
        </w:rPr>
        <w:t>RESULTS AND DISCUSSION</w:t>
      </w:r>
    </w:p>
    <w:p w:rsidR="00A03127" w:rsidRDefault="00A03127" w:rsidP="00A03127">
      <w:pPr>
        <w:spacing w:line="276" w:lineRule="auto"/>
        <w:ind w:left="0" w:firstLine="0"/>
        <w:rPr>
          <w:b/>
          <w:szCs w:val="24"/>
        </w:rPr>
      </w:pPr>
      <w:r w:rsidRPr="00C60435">
        <w:rPr>
          <w:b/>
          <w:szCs w:val="24"/>
        </w:rPr>
        <w:t>Results</w:t>
      </w:r>
    </w:p>
    <w:p w:rsidR="008044C4" w:rsidRDefault="00D52BF2" w:rsidP="008044C4">
      <w:pPr>
        <w:spacing w:after="0"/>
        <w:ind w:left="0" w:firstLine="0"/>
        <w:rPr>
          <w:lang w:val="en-US"/>
        </w:rPr>
      </w:pPr>
      <w:r>
        <w:rPr>
          <w:b/>
          <w:szCs w:val="24"/>
        </w:rPr>
        <w:tab/>
      </w:r>
      <w:r w:rsidR="008044C4" w:rsidRPr="008044C4">
        <w:rPr>
          <w:lang w:val="en-US"/>
        </w:rPr>
        <w:t xml:space="preserve">Results from this study will be used to explain how to </w:t>
      </w:r>
      <w:proofErr w:type="spellStart"/>
      <w:r w:rsidR="008044C4" w:rsidRPr="008044C4">
        <w:rPr>
          <w:lang w:val="en-US"/>
        </w:rPr>
        <w:t>utilise</w:t>
      </w:r>
      <w:proofErr w:type="spellEnd"/>
      <w:r w:rsidR="008044C4" w:rsidRPr="008044C4">
        <w:rPr>
          <w:lang w:val="en-US"/>
        </w:rPr>
        <w:t xml:space="preserve"> the demonstrative learning approach to enhance student learning outcomes in science class V at UPT Public Element</w:t>
      </w:r>
      <w:r w:rsidR="008044C4">
        <w:rPr>
          <w:lang w:val="en-US"/>
        </w:rPr>
        <w:t xml:space="preserve">ary School 127 </w:t>
      </w:r>
      <w:proofErr w:type="spellStart"/>
      <w:r w:rsidR="008044C4">
        <w:rPr>
          <w:lang w:val="en-US"/>
        </w:rPr>
        <w:t>Inpres</w:t>
      </w:r>
      <w:proofErr w:type="spellEnd"/>
      <w:r w:rsidR="008044C4">
        <w:rPr>
          <w:lang w:val="en-US"/>
        </w:rPr>
        <w:t xml:space="preserve"> </w:t>
      </w:r>
      <w:proofErr w:type="spellStart"/>
      <w:r w:rsidR="008044C4">
        <w:rPr>
          <w:lang w:val="en-US"/>
        </w:rPr>
        <w:t>Komara</w:t>
      </w:r>
      <w:proofErr w:type="spellEnd"/>
      <w:r w:rsidR="008044C4">
        <w:rPr>
          <w:lang w:val="en-US"/>
        </w:rPr>
        <w:t xml:space="preserve"> I. </w:t>
      </w:r>
      <w:r w:rsidR="008044C4" w:rsidRPr="008044C4">
        <w:rPr>
          <w:lang w:val="en-US"/>
        </w:rPr>
        <w:t>The table below shows the findings of the descriptive study of the acquisition value of student learning outcomes in cycle I after using the demonstrative learning model in scientific learning:</w:t>
      </w:r>
    </w:p>
    <w:p w:rsidR="008044C4" w:rsidRDefault="008044C4" w:rsidP="008044C4">
      <w:pPr>
        <w:spacing w:after="0"/>
        <w:ind w:left="0" w:firstLine="0"/>
        <w:rPr>
          <w:lang w:val="en-US"/>
        </w:rPr>
      </w:pPr>
    </w:p>
    <w:p w:rsidR="00D52BF2" w:rsidRPr="008044C4" w:rsidRDefault="008044C4" w:rsidP="00D52BF2">
      <w:pPr>
        <w:spacing w:after="0" w:line="240" w:lineRule="auto"/>
        <w:ind w:left="1077" w:hanging="1077"/>
        <w:rPr>
          <w:szCs w:val="24"/>
        </w:rPr>
      </w:pPr>
      <w:r w:rsidRPr="008044C4">
        <w:rPr>
          <w:b/>
          <w:szCs w:val="24"/>
        </w:rPr>
        <w:t xml:space="preserve">Table 4.1 </w:t>
      </w:r>
      <w:r>
        <w:rPr>
          <w:szCs w:val="24"/>
          <w:lang w:val="en-US"/>
        </w:rPr>
        <w:t>S</w:t>
      </w:r>
      <w:r w:rsidRPr="008044C4">
        <w:rPr>
          <w:szCs w:val="24"/>
        </w:rPr>
        <w:t>hows the results of the first cycle of science instruction at UPT Public Elementary School, 127 Inpres Komara I, Polut District, Takalar Regency.</w:t>
      </w:r>
    </w:p>
    <w:tbl>
      <w:tblPr>
        <w:tblW w:w="7662" w:type="dxa"/>
        <w:tblInd w:w="869" w:type="dxa"/>
        <w:tblLook w:val="04A0" w:firstRow="1" w:lastRow="0" w:firstColumn="1" w:lastColumn="0" w:noHBand="0" w:noVBand="1"/>
      </w:tblPr>
      <w:tblGrid>
        <w:gridCol w:w="3874"/>
        <w:gridCol w:w="3788"/>
      </w:tblGrid>
      <w:tr w:rsidR="007022D3" w:rsidRPr="00D52BF2" w:rsidTr="00D52BF2">
        <w:trPr>
          <w:trHeight w:val="244"/>
        </w:trPr>
        <w:tc>
          <w:tcPr>
            <w:tcW w:w="3874" w:type="dxa"/>
            <w:tcBorders>
              <w:top w:val="single" w:sz="4" w:space="0" w:color="auto"/>
              <w:left w:val="nil"/>
              <w:bottom w:val="single" w:sz="4" w:space="0" w:color="auto"/>
              <w:right w:val="nil"/>
            </w:tcBorders>
            <w:shd w:val="clear" w:color="auto" w:fill="auto"/>
            <w:noWrap/>
            <w:vAlign w:val="bottom"/>
            <w:hideMark/>
          </w:tcPr>
          <w:p w:rsidR="007022D3" w:rsidRPr="00D52BF2" w:rsidRDefault="007022D3" w:rsidP="007022D3">
            <w:pPr>
              <w:spacing w:after="0" w:line="240" w:lineRule="auto"/>
              <w:jc w:val="center"/>
              <w:rPr>
                <w:b/>
                <w:szCs w:val="24"/>
              </w:rPr>
            </w:pPr>
            <w:r w:rsidRPr="00D52BF2">
              <w:rPr>
                <w:b/>
                <w:szCs w:val="24"/>
              </w:rPr>
              <w:t>Description</w:t>
            </w:r>
          </w:p>
        </w:tc>
        <w:tc>
          <w:tcPr>
            <w:tcW w:w="3788" w:type="dxa"/>
            <w:tcBorders>
              <w:top w:val="single" w:sz="4" w:space="0" w:color="auto"/>
              <w:left w:val="nil"/>
              <w:bottom w:val="single" w:sz="4" w:space="0" w:color="auto"/>
              <w:right w:val="nil"/>
            </w:tcBorders>
            <w:shd w:val="clear" w:color="auto" w:fill="auto"/>
            <w:noWrap/>
            <w:vAlign w:val="bottom"/>
            <w:hideMark/>
          </w:tcPr>
          <w:p w:rsidR="007022D3" w:rsidRPr="00D52BF2" w:rsidRDefault="007022D3" w:rsidP="007022D3">
            <w:pPr>
              <w:spacing w:after="0" w:line="240" w:lineRule="auto"/>
              <w:jc w:val="center"/>
              <w:rPr>
                <w:b/>
                <w:szCs w:val="24"/>
              </w:rPr>
            </w:pPr>
            <w:r w:rsidRPr="00D52BF2">
              <w:rPr>
                <w:b/>
                <w:szCs w:val="24"/>
              </w:rPr>
              <w:t>Mark</w:t>
            </w:r>
          </w:p>
        </w:tc>
      </w:tr>
      <w:tr w:rsidR="007022D3" w:rsidRPr="00D52BF2" w:rsidTr="00D52BF2">
        <w:trPr>
          <w:trHeight w:val="356"/>
        </w:trPr>
        <w:tc>
          <w:tcPr>
            <w:tcW w:w="3874"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subject</w:t>
            </w:r>
          </w:p>
        </w:tc>
        <w:tc>
          <w:tcPr>
            <w:tcW w:w="3788"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13</w:t>
            </w:r>
          </w:p>
        </w:tc>
      </w:tr>
      <w:tr w:rsidR="007022D3" w:rsidRPr="00D52BF2" w:rsidTr="00D52BF2">
        <w:trPr>
          <w:trHeight w:val="356"/>
        </w:trPr>
        <w:tc>
          <w:tcPr>
            <w:tcW w:w="3874"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The highest score</w:t>
            </w:r>
          </w:p>
        </w:tc>
        <w:tc>
          <w:tcPr>
            <w:tcW w:w="3788"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90</w:t>
            </w:r>
          </w:p>
        </w:tc>
      </w:tr>
      <w:tr w:rsidR="007022D3" w:rsidRPr="00D52BF2" w:rsidTr="00D52BF2">
        <w:trPr>
          <w:trHeight w:val="356"/>
        </w:trPr>
        <w:tc>
          <w:tcPr>
            <w:tcW w:w="3874"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Lowest value</w:t>
            </w:r>
          </w:p>
        </w:tc>
        <w:tc>
          <w:tcPr>
            <w:tcW w:w="3788"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40</w:t>
            </w:r>
          </w:p>
        </w:tc>
      </w:tr>
      <w:tr w:rsidR="007022D3" w:rsidRPr="00D52BF2" w:rsidTr="00D52BF2">
        <w:trPr>
          <w:trHeight w:val="356"/>
        </w:trPr>
        <w:tc>
          <w:tcPr>
            <w:tcW w:w="3874"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Grade point average</w:t>
            </w:r>
          </w:p>
        </w:tc>
        <w:tc>
          <w:tcPr>
            <w:tcW w:w="3788" w:type="dxa"/>
            <w:tcBorders>
              <w:top w:val="single" w:sz="4" w:space="0" w:color="auto"/>
              <w:left w:val="nil"/>
              <w:bottom w:val="single" w:sz="4" w:space="0" w:color="auto"/>
              <w:right w:val="nil"/>
            </w:tcBorders>
            <w:shd w:val="clear" w:color="auto" w:fill="auto"/>
            <w:noWrap/>
            <w:vAlign w:val="center"/>
            <w:hideMark/>
          </w:tcPr>
          <w:p w:rsidR="007022D3" w:rsidRPr="00D52BF2" w:rsidRDefault="007022D3" w:rsidP="007022D3">
            <w:pPr>
              <w:spacing w:after="0" w:line="240" w:lineRule="auto"/>
              <w:jc w:val="center"/>
              <w:rPr>
                <w:szCs w:val="24"/>
              </w:rPr>
            </w:pPr>
            <w:r w:rsidRPr="00D52BF2">
              <w:rPr>
                <w:szCs w:val="24"/>
              </w:rPr>
              <w:t>70,76</w:t>
            </w:r>
          </w:p>
        </w:tc>
      </w:tr>
    </w:tbl>
    <w:p w:rsidR="007022D3" w:rsidRPr="00D52BF2" w:rsidRDefault="00D52BF2" w:rsidP="007022D3">
      <w:pPr>
        <w:tabs>
          <w:tab w:val="left" w:pos="1890"/>
        </w:tabs>
        <w:spacing w:after="0" w:line="240" w:lineRule="auto"/>
        <w:ind w:left="270"/>
        <w:rPr>
          <w:szCs w:val="24"/>
        </w:rPr>
      </w:pPr>
      <w:r>
        <w:rPr>
          <w:szCs w:val="24"/>
        </w:rPr>
        <w:tab/>
        <w:t xml:space="preserve">          </w:t>
      </w:r>
      <w:r w:rsidR="007022D3" w:rsidRPr="00D52BF2">
        <w:rPr>
          <w:szCs w:val="24"/>
        </w:rPr>
        <w:t>Source: Appendix Data 18</w:t>
      </w:r>
    </w:p>
    <w:p w:rsidR="00D52BF2" w:rsidRPr="00D52BF2" w:rsidRDefault="00D52BF2" w:rsidP="00D52BF2">
      <w:pPr>
        <w:tabs>
          <w:tab w:val="left" w:pos="1890"/>
        </w:tabs>
        <w:spacing w:after="0" w:line="240" w:lineRule="auto"/>
        <w:ind w:left="270"/>
        <w:rPr>
          <w:szCs w:val="24"/>
        </w:rPr>
      </w:pPr>
    </w:p>
    <w:p w:rsidR="008044C4" w:rsidRPr="008044C4" w:rsidRDefault="008044C4" w:rsidP="008044C4">
      <w:pPr>
        <w:tabs>
          <w:tab w:val="left" w:pos="900"/>
        </w:tabs>
        <w:spacing w:after="0" w:line="360" w:lineRule="auto"/>
        <w:ind w:left="270" w:firstLine="630"/>
        <w:jc w:val="left"/>
        <w:rPr>
          <w:color w:val="0E101A"/>
        </w:rPr>
      </w:pPr>
      <w:r w:rsidRPr="008044C4">
        <w:rPr>
          <w:color w:val="0E101A"/>
        </w:rPr>
        <w:t>According to Table 4.1, the 13 students that participated in the demonstration learning model for the description of student learning outcomes had an average grade of 70.76, with the best score being 90 and the lowest being 40.</w:t>
      </w:r>
    </w:p>
    <w:p w:rsidR="008044C4" w:rsidRPr="008044C4" w:rsidRDefault="008044C4" w:rsidP="008044C4">
      <w:pPr>
        <w:tabs>
          <w:tab w:val="left" w:pos="900"/>
        </w:tabs>
        <w:spacing w:after="0" w:line="360" w:lineRule="auto"/>
        <w:ind w:left="270" w:firstLine="630"/>
        <w:jc w:val="left"/>
        <w:rPr>
          <w:color w:val="0E101A"/>
        </w:rPr>
      </w:pPr>
      <w:r w:rsidRPr="008044C4">
        <w:rPr>
          <w:color w:val="0E101A"/>
        </w:rPr>
        <w:t>In the first cycle exam, the average score for scientific learning outcomes is 70, which is in the good category. As a consequence, class V students at UPT Public Elementary School 127 Inpres Komara I, Polut District, Takalar Regency, performed well on the first cycle exam.</w:t>
      </w:r>
    </w:p>
    <w:p w:rsidR="008044C4" w:rsidRPr="008044C4" w:rsidRDefault="008044C4" w:rsidP="008044C4">
      <w:pPr>
        <w:tabs>
          <w:tab w:val="left" w:pos="900"/>
        </w:tabs>
        <w:spacing w:after="0" w:line="360" w:lineRule="auto"/>
        <w:ind w:left="270" w:firstLine="630"/>
        <w:jc w:val="left"/>
        <w:rPr>
          <w:color w:val="0E101A"/>
        </w:rPr>
      </w:pPr>
    </w:p>
    <w:p w:rsidR="007022D3" w:rsidRPr="006819AF" w:rsidRDefault="007022D3" w:rsidP="007022D3">
      <w:pPr>
        <w:pStyle w:val="NormalWeb"/>
        <w:spacing w:before="0" w:beforeAutospacing="0" w:after="0" w:afterAutospacing="0"/>
        <w:ind w:left="1440" w:hanging="1080"/>
        <w:jc w:val="both"/>
        <w:rPr>
          <w:color w:val="0E101A"/>
          <w:sz w:val="22"/>
          <w:szCs w:val="22"/>
        </w:rPr>
      </w:pPr>
      <w:r w:rsidRPr="007F2F81">
        <w:rPr>
          <w:b/>
          <w:color w:val="0E101A"/>
          <w:sz w:val="22"/>
          <w:szCs w:val="22"/>
        </w:rPr>
        <w:t xml:space="preserve">Table 4.2. </w:t>
      </w:r>
      <w:r w:rsidR="008044C4" w:rsidRPr="008044C4">
        <w:rPr>
          <w:color w:val="0E101A"/>
          <w:sz w:val="22"/>
          <w:szCs w:val="22"/>
        </w:rPr>
        <w:t>Percentage of Class V UPT Public Elementary School students in Cycle I who completed all of their science learning outcomes</w:t>
      </w:r>
    </w:p>
    <w:p w:rsidR="00D52BF2" w:rsidRPr="00D52BF2" w:rsidRDefault="00D52BF2" w:rsidP="00D52BF2">
      <w:pPr>
        <w:pBdr>
          <w:between w:val="single" w:sz="4" w:space="1" w:color="auto"/>
          <w:bar w:val="single" w:sz="4" w:color="auto"/>
        </w:pBdr>
        <w:spacing w:after="0" w:line="240" w:lineRule="auto"/>
        <w:ind w:left="1077" w:hanging="1077"/>
        <w:rPr>
          <w:szCs w:val="24"/>
        </w:rPr>
      </w:pPr>
    </w:p>
    <w:tbl>
      <w:tblPr>
        <w:tblW w:w="0" w:type="auto"/>
        <w:tblInd w:w="861" w:type="dxa"/>
        <w:tblBorders>
          <w:insideH w:val="single" w:sz="4" w:space="0" w:color="auto"/>
        </w:tblBorders>
        <w:tblLook w:val="04A0" w:firstRow="1" w:lastRow="0" w:firstColumn="1" w:lastColumn="0" w:noHBand="0" w:noVBand="1"/>
      </w:tblPr>
      <w:tblGrid>
        <w:gridCol w:w="1814"/>
        <w:gridCol w:w="1987"/>
        <w:gridCol w:w="2000"/>
        <w:gridCol w:w="1866"/>
      </w:tblGrid>
      <w:tr w:rsidR="006819AF" w:rsidRPr="00D52BF2" w:rsidTr="00D52BF2">
        <w:tc>
          <w:tcPr>
            <w:tcW w:w="1814" w:type="dxa"/>
            <w:tcBorders>
              <w:top w:val="single" w:sz="4" w:space="0" w:color="auto"/>
              <w:bottom w:val="single" w:sz="4" w:space="0" w:color="auto"/>
            </w:tcBorders>
            <w:vAlign w:val="center"/>
          </w:tcPr>
          <w:p w:rsidR="006819AF" w:rsidRPr="00D52BF2" w:rsidRDefault="006819AF" w:rsidP="006819AF">
            <w:pPr>
              <w:pBdr>
                <w:between w:val="single" w:sz="4" w:space="1" w:color="auto"/>
                <w:bar w:val="single" w:sz="4" w:color="auto"/>
              </w:pBdr>
              <w:spacing w:after="0" w:line="360" w:lineRule="auto"/>
              <w:jc w:val="center"/>
              <w:rPr>
                <w:b/>
                <w:szCs w:val="24"/>
              </w:rPr>
            </w:pPr>
            <w:r w:rsidRPr="00D52BF2">
              <w:rPr>
                <w:b/>
                <w:szCs w:val="24"/>
              </w:rPr>
              <w:t>KKM</w:t>
            </w:r>
          </w:p>
        </w:tc>
        <w:tc>
          <w:tcPr>
            <w:tcW w:w="1987" w:type="dxa"/>
            <w:tcBorders>
              <w:top w:val="single" w:sz="4" w:space="0" w:color="auto"/>
              <w:bottom w:val="single" w:sz="4" w:space="0" w:color="auto"/>
            </w:tcBorders>
            <w:vAlign w:val="center"/>
          </w:tcPr>
          <w:p w:rsidR="006819AF" w:rsidRPr="00D52BF2" w:rsidRDefault="006819AF" w:rsidP="006819AF">
            <w:pPr>
              <w:pBdr>
                <w:between w:val="single" w:sz="4" w:space="1" w:color="auto"/>
                <w:bar w:val="single" w:sz="4" w:color="auto"/>
              </w:pBdr>
              <w:spacing w:after="0" w:line="360" w:lineRule="auto"/>
              <w:jc w:val="center"/>
              <w:rPr>
                <w:b/>
                <w:szCs w:val="24"/>
              </w:rPr>
            </w:pPr>
            <w:r w:rsidRPr="00D52BF2">
              <w:rPr>
                <w:b/>
                <w:szCs w:val="24"/>
              </w:rPr>
              <w:t>Category</w:t>
            </w:r>
          </w:p>
        </w:tc>
        <w:tc>
          <w:tcPr>
            <w:tcW w:w="2000" w:type="dxa"/>
            <w:tcBorders>
              <w:top w:val="single" w:sz="4" w:space="0" w:color="auto"/>
              <w:bottom w:val="single" w:sz="4" w:space="0" w:color="auto"/>
            </w:tcBorders>
            <w:vAlign w:val="center"/>
          </w:tcPr>
          <w:p w:rsidR="006819AF" w:rsidRPr="00D52BF2" w:rsidRDefault="006819AF" w:rsidP="006819AF">
            <w:pPr>
              <w:pBdr>
                <w:between w:val="single" w:sz="4" w:space="1" w:color="auto"/>
                <w:bar w:val="single" w:sz="4" w:color="auto"/>
              </w:pBdr>
              <w:spacing w:after="0" w:line="360" w:lineRule="auto"/>
              <w:jc w:val="center"/>
              <w:rPr>
                <w:b/>
                <w:szCs w:val="24"/>
              </w:rPr>
            </w:pPr>
            <w:r w:rsidRPr="00D52BF2">
              <w:rPr>
                <w:b/>
                <w:szCs w:val="24"/>
              </w:rPr>
              <w:t>Frequency</w:t>
            </w:r>
          </w:p>
        </w:tc>
        <w:tc>
          <w:tcPr>
            <w:tcW w:w="1866" w:type="dxa"/>
            <w:tcBorders>
              <w:top w:val="single" w:sz="4" w:space="0" w:color="auto"/>
              <w:bottom w:val="single" w:sz="4" w:space="0" w:color="auto"/>
            </w:tcBorders>
            <w:vAlign w:val="center"/>
          </w:tcPr>
          <w:p w:rsidR="006819AF" w:rsidRPr="00D52BF2" w:rsidRDefault="006819AF" w:rsidP="006819AF">
            <w:pPr>
              <w:pBdr>
                <w:between w:val="single" w:sz="4" w:space="1" w:color="auto"/>
                <w:bar w:val="single" w:sz="4" w:color="auto"/>
              </w:pBdr>
              <w:spacing w:after="0" w:line="360" w:lineRule="auto"/>
              <w:jc w:val="center"/>
              <w:rPr>
                <w:b/>
                <w:szCs w:val="24"/>
              </w:rPr>
            </w:pPr>
            <w:r w:rsidRPr="00D52BF2">
              <w:rPr>
                <w:b/>
                <w:szCs w:val="24"/>
              </w:rPr>
              <w:t>Percentage (%)</w:t>
            </w:r>
          </w:p>
        </w:tc>
      </w:tr>
      <w:tr w:rsidR="006819AF" w:rsidRPr="00D52BF2" w:rsidTr="00D52BF2">
        <w:tc>
          <w:tcPr>
            <w:tcW w:w="1814" w:type="dxa"/>
            <w:tcBorders>
              <w:top w:val="single" w:sz="4" w:space="0" w:color="auto"/>
            </w:tcBorders>
            <w:vAlign w:val="center"/>
          </w:tcPr>
          <w:p w:rsidR="006819AF" w:rsidRPr="00D52BF2" w:rsidRDefault="006819AF" w:rsidP="006819AF">
            <w:pPr>
              <w:spacing w:after="0" w:line="360" w:lineRule="auto"/>
              <w:jc w:val="center"/>
              <w:rPr>
                <w:szCs w:val="24"/>
              </w:rPr>
            </w:pPr>
            <w:r w:rsidRPr="00D52BF2">
              <w:rPr>
                <w:szCs w:val="24"/>
              </w:rPr>
              <w:t>0,00 – 75,00</w:t>
            </w:r>
          </w:p>
        </w:tc>
        <w:tc>
          <w:tcPr>
            <w:tcW w:w="1987" w:type="dxa"/>
            <w:tcBorders>
              <w:top w:val="single" w:sz="4" w:space="0" w:color="auto"/>
            </w:tcBorders>
            <w:vAlign w:val="center"/>
          </w:tcPr>
          <w:p w:rsidR="006819AF" w:rsidRPr="00D52BF2" w:rsidRDefault="006819AF" w:rsidP="006819AF">
            <w:pPr>
              <w:spacing w:after="0" w:line="360" w:lineRule="auto"/>
              <w:jc w:val="center"/>
              <w:rPr>
                <w:szCs w:val="24"/>
              </w:rPr>
            </w:pPr>
            <w:r w:rsidRPr="00D52BF2">
              <w:rPr>
                <w:szCs w:val="24"/>
              </w:rPr>
              <w:t>Not Completed</w:t>
            </w:r>
          </w:p>
        </w:tc>
        <w:tc>
          <w:tcPr>
            <w:tcW w:w="2000" w:type="dxa"/>
            <w:tcBorders>
              <w:top w:val="single" w:sz="4" w:space="0" w:color="auto"/>
            </w:tcBorders>
            <w:vAlign w:val="center"/>
          </w:tcPr>
          <w:p w:rsidR="006819AF" w:rsidRPr="00D52BF2" w:rsidRDefault="006819AF" w:rsidP="006819AF">
            <w:pPr>
              <w:spacing w:after="0" w:line="360" w:lineRule="auto"/>
              <w:jc w:val="center"/>
              <w:rPr>
                <w:szCs w:val="24"/>
              </w:rPr>
            </w:pPr>
            <w:r w:rsidRPr="00D52BF2">
              <w:rPr>
                <w:szCs w:val="24"/>
              </w:rPr>
              <w:t>7</w:t>
            </w:r>
          </w:p>
        </w:tc>
        <w:tc>
          <w:tcPr>
            <w:tcW w:w="1866" w:type="dxa"/>
            <w:tcBorders>
              <w:top w:val="single" w:sz="4" w:space="0" w:color="auto"/>
            </w:tcBorders>
            <w:vAlign w:val="center"/>
          </w:tcPr>
          <w:p w:rsidR="006819AF" w:rsidRPr="00D52BF2" w:rsidRDefault="006819AF" w:rsidP="006819AF">
            <w:pPr>
              <w:spacing w:after="0" w:line="360" w:lineRule="auto"/>
              <w:jc w:val="center"/>
              <w:rPr>
                <w:szCs w:val="24"/>
              </w:rPr>
            </w:pPr>
            <w:r w:rsidRPr="00D52BF2">
              <w:rPr>
                <w:szCs w:val="24"/>
              </w:rPr>
              <w:t>53,85</w:t>
            </w:r>
          </w:p>
        </w:tc>
      </w:tr>
      <w:tr w:rsidR="006819AF" w:rsidRPr="00D52BF2" w:rsidTr="00D52BF2">
        <w:tc>
          <w:tcPr>
            <w:tcW w:w="1814" w:type="dxa"/>
            <w:tcBorders>
              <w:bottom w:val="single" w:sz="4" w:space="0" w:color="auto"/>
            </w:tcBorders>
            <w:vAlign w:val="center"/>
          </w:tcPr>
          <w:p w:rsidR="006819AF" w:rsidRPr="00D52BF2" w:rsidRDefault="006819AF" w:rsidP="006819AF">
            <w:pPr>
              <w:spacing w:after="0" w:line="360" w:lineRule="auto"/>
              <w:jc w:val="center"/>
              <w:rPr>
                <w:szCs w:val="24"/>
              </w:rPr>
            </w:pPr>
            <w:r w:rsidRPr="00D52BF2">
              <w:rPr>
                <w:szCs w:val="24"/>
              </w:rPr>
              <w:t>76,00 – 100</w:t>
            </w:r>
          </w:p>
        </w:tc>
        <w:tc>
          <w:tcPr>
            <w:tcW w:w="1987" w:type="dxa"/>
            <w:tcBorders>
              <w:bottom w:val="single" w:sz="4" w:space="0" w:color="auto"/>
            </w:tcBorders>
            <w:vAlign w:val="center"/>
          </w:tcPr>
          <w:p w:rsidR="006819AF" w:rsidRPr="00D52BF2" w:rsidRDefault="006819AF" w:rsidP="006819AF">
            <w:pPr>
              <w:spacing w:after="0" w:line="360" w:lineRule="auto"/>
              <w:jc w:val="center"/>
              <w:rPr>
                <w:szCs w:val="24"/>
              </w:rPr>
            </w:pPr>
            <w:r w:rsidRPr="00D52BF2">
              <w:rPr>
                <w:szCs w:val="24"/>
              </w:rPr>
              <w:t>complete</w:t>
            </w:r>
          </w:p>
        </w:tc>
        <w:tc>
          <w:tcPr>
            <w:tcW w:w="2000" w:type="dxa"/>
            <w:tcBorders>
              <w:bottom w:val="single" w:sz="4" w:space="0" w:color="auto"/>
            </w:tcBorders>
            <w:vAlign w:val="center"/>
          </w:tcPr>
          <w:p w:rsidR="006819AF" w:rsidRPr="00D52BF2" w:rsidRDefault="006819AF" w:rsidP="006819AF">
            <w:pPr>
              <w:spacing w:after="0" w:line="360" w:lineRule="auto"/>
              <w:jc w:val="center"/>
              <w:rPr>
                <w:szCs w:val="24"/>
              </w:rPr>
            </w:pPr>
            <w:r w:rsidRPr="00D52BF2">
              <w:rPr>
                <w:szCs w:val="24"/>
              </w:rPr>
              <w:t>6</w:t>
            </w:r>
          </w:p>
        </w:tc>
        <w:tc>
          <w:tcPr>
            <w:tcW w:w="1866" w:type="dxa"/>
            <w:tcBorders>
              <w:bottom w:val="single" w:sz="4" w:space="0" w:color="auto"/>
            </w:tcBorders>
            <w:vAlign w:val="center"/>
          </w:tcPr>
          <w:p w:rsidR="006819AF" w:rsidRPr="00D52BF2" w:rsidRDefault="006819AF" w:rsidP="006819AF">
            <w:pPr>
              <w:spacing w:after="0" w:line="360" w:lineRule="auto"/>
              <w:jc w:val="center"/>
              <w:rPr>
                <w:szCs w:val="24"/>
              </w:rPr>
            </w:pPr>
            <w:r w:rsidRPr="00D52BF2">
              <w:rPr>
                <w:szCs w:val="24"/>
              </w:rPr>
              <w:t>46,15</w:t>
            </w:r>
          </w:p>
        </w:tc>
      </w:tr>
      <w:tr w:rsidR="00D52BF2" w:rsidRPr="00D52BF2" w:rsidTr="00D52BF2">
        <w:tc>
          <w:tcPr>
            <w:tcW w:w="3801" w:type="dxa"/>
            <w:gridSpan w:val="2"/>
            <w:tcBorders>
              <w:top w:val="single" w:sz="4" w:space="0" w:color="auto"/>
              <w:bottom w:val="single" w:sz="4" w:space="0" w:color="auto"/>
            </w:tcBorders>
            <w:vAlign w:val="center"/>
          </w:tcPr>
          <w:p w:rsidR="00D52BF2" w:rsidRPr="00D52BF2" w:rsidRDefault="006819AF" w:rsidP="008C0546">
            <w:pPr>
              <w:spacing w:after="0" w:line="360" w:lineRule="auto"/>
              <w:jc w:val="center"/>
              <w:rPr>
                <w:szCs w:val="24"/>
              </w:rPr>
            </w:pPr>
            <w:r w:rsidRPr="00D52BF2">
              <w:rPr>
                <w:szCs w:val="24"/>
              </w:rPr>
              <w:t>Amount</w:t>
            </w:r>
          </w:p>
        </w:tc>
        <w:tc>
          <w:tcPr>
            <w:tcW w:w="2000" w:type="dxa"/>
            <w:tcBorders>
              <w:top w:val="single" w:sz="4" w:space="0" w:color="auto"/>
              <w:bottom w:val="single" w:sz="4" w:space="0" w:color="auto"/>
            </w:tcBorders>
            <w:vAlign w:val="center"/>
          </w:tcPr>
          <w:p w:rsidR="00D52BF2" w:rsidRPr="00D52BF2" w:rsidRDefault="00D52BF2" w:rsidP="008C0546">
            <w:pPr>
              <w:spacing w:after="0" w:line="360" w:lineRule="auto"/>
              <w:jc w:val="center"/>
              <w:rPr>
                <w:szCs w:val="24"/>
              </w:rPr>
            </w:pPr>
            <w:r w:rsidRPr="00D52BF2">
              <w:rPr>
                <w:szCs w:val="24"/>
              </w:rPr>
              <w:t>18</w:t>
            </w:r>
          </w:p>
        </w:tc>
        <w:tc>
          <w:tcPr>
            <w:tcW w:w="1866" w:type="dxa"/>
            <w:tcBorders>
              <w:top w:val="single" w:sz="4" w:space="0" w:color="auto"/>
              <w:bottom w:val="single" w:sz="4" w:space="0" w:color="auto"/>
            </w:tcBorders>
            <w:vAlign w:val="center"/>
          </w:tcPr>
          <w:p w:rsidR="00D52BF2" w:rsidRPr="00D52BF2" w:rsidRDefault="00D52BF2" w:rsidP="008C0546">
            <w:pPr>
              <w:spacing w:after="0" w:line="360" w:lineRule="auto"/>
              <w:jc w:val="center"/>
              <w:rPr>
                <w:szCs w:val="24"/>
              </w:rPr>
            </w:pPr>
            <w:r w:rsidRPr="00D52BF2">
              <w:rPr>
                <w:szCs w:val="24"/>
              </w:rPr>
              <w:t>100</w:t>
            </w:r>
          </w:p>
        </w:tc>
      </w:tr>
    </w:tbl>
    <w:p w:rsidR="006819AF" w:rsidRPr="00D52BF2" w:rsidRDefault="00D52BF2" w:rsidP="006819AF">
      <w:pPr>
        <w:spacing w:after="0" w:line="480" w:lineRule="auto"/>
        <w:ind w:left="270"/>
        <w:rPr>
          <w:szCs w:val="24"/>
        </w:rPr>
      </w:pPr>
      <w:r>
        <w:rPr>
          <w:szCs w:val="24"/>
        </w:rPr>
        <w:t xml:space="preserve">         </w:t>
      </w:r>
      <w:r w:rsidR="006819AF">
        <w:rPr>
          <w:szCs w:val="24"/>
        </w:rPr>
        <w:t>Source: Appendix Data 18</w:t>
      </w:r>
    </w:p>
    <w:p w:rsidR="008044C4" w:rsidRPr="008044C4" w:rsidRDefault="008044C4" w:rsidP="008044C4">
      <w:pPr>
        <w:spacing w:after="0" w:line="360" w:lineRule="auto"/>
        <w:ind w:left="270" w:firstLine="450"/>
        <w:rPr>
          <w:szCs w:val="24"/>
          <w:lang w:val="en-US"/>
        </w:rPr>
      </w:pPr>
      <w:r w:rsidRPr="008044C4">
        <w:rPr>
          <w:szCs w:val="24"/>
          <w:lang w:val="en-US"/>
        </w:rPr>
        <w:lastRenderedPageBreak/>
        <w:t xml:space="preserve">Table 4.2. The information above demonstrates that of the 13 students in class V at UPT Public Elementary School 127 </w:t>
      </w:r>
      <w:proofErr w:type="spellStart"/>
      <w:r w:rsidRPr="008044C4">
        <w:rPr>
          <w:szCs w:val="24"/>
          <w:lang w:val="en-US"/>
        </w:rPr>
        <w:t>Inpres</w:t>
      </w:r>
      <w:proofErr w:type="spellEnd"/>
      <w:r w:rsidRPr="008044C4">
        <w:rPr>
          <w:szCs w:val="24"/>
          <w:lang w:val="en-US"/>
        </w:rPr>
        <w:t xml:space="preserve"> </w:t>
      </w:r>
      <w:proofErr w:type="spellStart"/>
      <w:r w:rsidRPr="008044C4">
        <w:rPr>
          <w:szCs w:val="24"/>
          <w:lang w:val="en-US"/>
        </w:rPr>
        <w:t>Komara</w:t>
      </w:r>
      <w:proofErr w:type="spellEnd"/>
      <w:r w:rsidRPr="008044C4">
        <w:rPr>
          <w:szCs w:val="24"/>
          <w:lang w:val="en-US"/>
        </w:rPr>
        <w:t xml:space="preserve"> I, </w:t>
      </w:r>
      <w:proofErr w:type="spellStart"/>
      <w:r w:rsidRPr="008044C4">
        <w:rPr>
          <w:szCs w:val="24"/>
          <w:lang w:val="en-US"/>
        </w:rPr>
        <w:t>Polut</w:t>
      </w:r>
      <w:proofErr w:type="spellEnd"/>
      <w:r w:rsidRPr="008044C4">
        <w:rPr>
          <w:szCs w:val="24"/>
          <w:lang w:val="en-US"/>
        </w:rPr>
        <w:t xml:space="preserve"> District, </w:t>
      </w:r>
      <w:proofErr w:type="spellStart"/>
      <w:r w:rsidRPr="008044C4">
        <w:rPr>
          <w:szCs w:val="24"/>
          <w:lang w:val="en-US"/>
        </w:rPr>
        <w:t>Takalar</w:t>
      </w:r>
      <w:proofErr w:type="spellEnd"/>
      <w:r w:rsidRPr="008044C4">
        <w:rPr>
          <w:szCs w:val="24"/>
          <w:lang w:val="en-US"/>
        </w:rPr>
        <w:t xml:space="preserve"> District, seven students (53.85%) did not complete their study results in science subjects, while six students (46.15%) did. This indicates that in the first cycle, the application of the Demonstration learning model in science subjects did not result in the completion of learning outcomes because there are still 24% and higher students whose learning outcomes are fully expected. The number of students whose learning outcomes are less than 76%, or only 46.15%, indicates that this is not the case.</w:t>
      </w:r>
    </w:p>
    <w:p w:rsidR="008044C4" w:rsidRPr="008044C4" w:rsidRDefault="008044C4" w:rsidP="008044C4">
      <w:pPr>
        <w:spacing w:after="0" w:line="360" w:lineRule="auto"/>
        <w:ind w:left="270" w:firstLine="450"/>
        <w:rPr>
          <w:szCs w:val="24"/>
          <w:lang w:val="en-US"/>
        </w:rPr>
      </w:pPr>
      <w:r w:rsidRPr="008044C4">
        <w:rPr>
          <w:szCs w:val="24"/>
          <w:lang w:val="en-US"/>
        </w:rPr>
        <w:t>The results of the descriptive analysis of the acquisition value of student learning outcomes after applying the Demonstration learning model in learning science can be seen in the table below: After implementing the learning process in cycle II, which consisted of two meetings, a learning achievement test was conducted.</w:t>
      </w:r>
    </w:p>
    <w:p w:rsidR="008044C4" w:rsidRPr="00D22F88" w:rsidRDefault="008044C4" w:rsidP="00D22F88">
      <w:pPr>
        <w:spacing w:after="0" w:line="360" w:lineRule="auto"/>
        <w:ind w:left="270" w:firstLine="450"/>
        <w:rPr>
          <w:szCs w:val="24"/>
          <w:lang w:val="en-US"/>
        </w:rPr>
      </w:pPr>
    </w:p>
    <w:p w:rsidR="00D22F88" w:rsidRPr="00D22F88" w:rsidRDefault="00D22F88" w:rsidP="00D22F88">
      <w:pPr>
        <w:spacing w:after="0" w:line="240" w:lineRule="auto"/>
        <w:ind w:left="1134" w:hanging="864"/>
        <w:contextualSpacing/>
        <w:rPr>
          <w:rFonts w:eastAsiaTheme="minorEastAsia"/>
          <w:color w:val="000000" w:themeColor="text1"/>
          <w:szCs w:val="24"/>
        </w:rPr>
      </w:pPr>
      <w:r w:rsidRPr="007F2F81">
        <w:rPr>
          <w:b/>
          <w:szCs w:val="24"/>
          <w:lang w:val="en-US"/>
        </w:rPr>
        <w:t>Table 4.3</w:t>
      </w:r>
      <w:r w:rsidRPr="00D22F88">
        <w:rPr>
          <w:szCs w:val="24"/>
          <w:lang w:val="en-US"/>
        </w:rPr>
        <w:t xml:space="preserve">. </w:t>
      </w:r>
      <w:r w:rsidR="008044C4" w:rsidRPr="008044C4">
        <w:rPr>
          <w:szCs w:val="24"/>
          <w:lang w:val="en-US"/>
        </w:rPr>
        <w:t xml:space="preserve">Class V UPT Public Elementary School 127 </w:t>
      </w:r>
      <w:proofErr w:type="spellStart"/>
      <w:r w:rsidR="008044C4" w:rsidRPr="008044C4">
        <w:rPr>
          <w:szCs w:val="24"/>
          <w:lang w:val="en-US"/>
        </w:rPr>
        <w:t>Inpres</w:t>
      </w:r>
      <w:proofErr w:type="spellEnd"/>
      <w:r w:rsidR="008044C4" w:rsidRPr="008044C4">
        <w:rPr>
          <w:szCs w:val="24"/>
          <w:lang w:val="en-US"/>
        </w:rPr>
        <w:t xml:space="preserve"> </w:t>
      </w:r>
      <w:proofErr w:type="spellStart"/>
      <w:r w:rsidR="008044C4" w:rsidRPr="008044C4">
        <w:rPr>
          <w:szCs w:val="24"/>
          <w:lang w:val="en-US"/>
        </w:rPr>
        <w:t>Komara</w:t>
      </w:r>
      <w:proofErr w:type="spellEnd"/>
      <w:r w:rsidR="008044C4" w:rsidRPr="008044C4">
        <w:rPr>
          <w:szCs w:val="24"/>
          <w:lang w:val="en-US"/>
        </w:rPr>
        <w:t xml:space="preserve"> I, </w:t>
      </w:r>
      <w:proofErr w:type="spellStart"/>
      <w:r w:rsidR="008044C4" w:rsidRPr="008044C4">
        <w:rPr>
          <w:szCs w:val="24"/>
          <w:lang w:val="en-US"/>
        </w:rPr>
        <w:t>Polut</w:t>
      </w:r>
      <w:proofErr w:type="spellEnd"/>
      <w:r w:rsidR="008044C4" w:rsidRPr="008044C4">
        <w:rPr>
          <w:szCs w:val="24"/>
          <w:lang w:val="en-US"/>
        </w:rPr>
        <w:t xml:space="preserve"> District, </w:t>
      </w:r>
      <w:proofErr w:type="spellStart"/>
      <w:r w:rsidR="008044C4" w:rsidRPr="008044C4">
        <w:rPr>
          <w:szCs w:val="24"/>
          <w:lang w:val="en-US"/>
        </w:rPr>
        <w:t>Takalar</w:t>
      </w:r>
      <w:proofErr w:type="spellEnd"/>
      <w:r w:rsidR="008044C4" w:rsidRPr="008044C4">
        <w:rPr>
          <w:szCs w:val="24"/>
          <w:lang w:val="en-US"/>
        </w:rPr>
        <w:t xml:space="preserve"> Regency in Cycle II Student Learning Outcomes</w:t>
      </w:r>
    </w:p>
    <w:tbl>
      <w:tblPr>
        <w:tblW w:w="8202" w:type="dxa"/>
        <w:jc w:val="center"/>
        <w:tblLook w:val="04A0" w:firstRow="1" w:lastRow="0" w:firstColumn="1" w:lastColumn="0" w:noHBand="0" w:noVBand="1"/>
      </w:tblPr>
      <w:tblGrid>
        <w:gridCol w:w="4414"/>
        <w:gridCol w:w="3788"/>
      </w:tblGrid>
      <w:tr w:rsidR="00D22F88" w:rsidRPr="00D52BF2" w:rsidTr="00D22F88">
        <w:trPr>
          <w:trHeight w:val="356"/>
          <w:jc w:val="center"/>
        </w:trPr>
        <w:tc>
          <w:tcPr>
            <w:tcW w:w="4414" w:type="dxa"/>
            <w:tcBorders>
              <w:top w:val="single" w:sz="4" w:space="0" w:color="auto"/>
              <w:left w:val="nil"/>
              <w:bottom w:val="single" w:sz="4" w:space="0" w:color="auto"/>
              <w:right w:val="nil"/>
            </w:tcBorders>
            <w:shd w:val="clear" w:color="auto" w:fill="auto"/>
            <w:noWrap/>
            <w:vAlign w:val="center"/>
            <w:hideMark/>
          </w:tcPr>
          <w:p w:rsidR="00D22F88" w:rsidRPr="00D22F88" w:rsidRDefault="00D22F88" w:rsidP="00D22F88">
            <w:pPr>
              <w:spacing w:after="0" w:line="240" w:lineRule="auto"/>
              <w:ind w:left="1559"/>
              <w:rPr>
                <w:b/>
                <w:color w:val="000000" w:themeColor="text1"/>
                <w:szCs w:val="24"/>
              </w:rPr>
            </w:pPr>
            <w:r w:rsidRPr="00D22F88">
              <w:rPr>
                <w:b/>
                <w:color w:val="000000" w:themeColor="text1"/>
                <w:szCs w:val="24"/>
              </w:rPr>
              <w:t>Description</w:t>
            </w:r>
          </w:p>
        </w:tc>
        <w:tc>
          <w:tcPr>
            <w:tcW w:w="3788" w:type="dxa"/>
            <w:tcBorders>
              <w:top w:val="single" w:sz="4" w:space="0" w:color="auto"/>
              <w:left w:val="nil"/>
              <w:bottom w:val="single" w:sz="4" w:space="0" w:color="auto"/>
              <w:right w:val="nil"/>
            </w:tcBorders>
            <w:shd w:val="clear" w:color="auto" w:fill="auto"/>
            <w:noWrap/>
            <w:vAlign w:val="center"/>
            <w:hideMark/>
          </w:tcPr>
          <w:p w:rsidR="00D22F88" w:rsidRPr="00D22F88" w:rsidRDefault="00D22F88" w:rsidP="00A8323A">
            <w:pPr>
              <w:spacing w:after="0" w:line="240" w:lineRule="auto"/>
              <w:jc w:val="center"/>
              <w:rPr>
                <w:b/>
                <w:color w:val="000000" w:themeColor="text1"/>
                <w:szCs w:val="24"/>
              </w:rPr>
            </w:pPr>
            <w:r w:rsidRPr="00D22F88">
              <w:rPr>
                <w:b/>
                <w:color w:val="000000" w:themeColor="text1"/>
                <w:szCs w:val="24"/>
              </w:rPr>
              <w:t>Mark</w:t>
            </w:r>
          </w:p>
        </w:tc>
      </w:tr>
      <w:tr w:rsidR="00D22F88" w:rsidRPr="00D52BF2" w:rsidTr="008C0546">
        <w:trPr>
          <w:trHeight w:val="356"/>
          <w:jc w:val="center"/>
        </w:trPr>
        <w:tc>
          <w:tcPr>
            <w:tcW w:w="4414"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ind w:left="1559"/>
              <w:rPr>
                <w:color w:val="000000" w:themeColor="text1"/>
                <w:szCs w:val="24"/>
              </w:rPr>
            </w:pPr>
            <w:r w:rsidRPr="00D52BF2">
              <w:rPr>
                <w:color w:val="000000" w:themeColor="text1"/>
                <w:szCs w:val="24"/>
              </w:rPr>
              <w:t>subject</w:t>
            </w:r>
          </w:p>
        </w:tc>
        <w:tc>
          <w:tcPr>
            <w:tcW w:w="3788"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jc w:val="center"/>
              <w:rPr>
                <w:color w:val="000000" w:themeColor="text1"/>
                <w:szCs w:val="24"/>
              </w:rPr>
            </w:pPr>
            <w:r w:rsidRPr="00D52BF2">
              <w:rPr>
                <w:color w:val="000000" w:themeColor="text1"/>
                <w:szCs w:val="24"/>
              </w:rPr>
              <w:t>13</w:t>
            </w:r>
          </w:p>
        </w:tc>
      </w:tr>
      <w:tr w:rsidR="00D22F88" w:rsidRPr="00D52BF2" w:rsidTr="008C0546">
        <w:trPr>
          <w:trHeight w:val="356"/>
          <w:jc w:val="center"/>
        </w:trPr>
        <w:tc>
          <w:tcPr>
            <w:tcW w:w="4414"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ind w:left="1559"/>
              <w:rPr>
                <w:color w:val="000000" w:themeColor="text1"/>
                <w:szCs w:val="24"/>
              </w:rPr>
            </w:pPr>
            <w:r w:rsidRPr="00D52BF2">
              <w:rPr>
                <w:color w:val="000000" w:themeColor="text1"/>
                <w:szCs w:val="24"/>
              </w:rPr>
              <w:t>The highest score</w:t>
            </w:r>
          </w:p>
        </w:tc>
        <w:tc>
          <w:tcPr>
            <w:tcW w:w="3788"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jc w:val="center"/>
              <w:rPr>
                <w:color w:val="000000" w:themeColor="text1"/>
                <w:szCs w:val="24"/>
              </w:rPr>
            </w:pPr>
            <w:r w:rsidRPr="00D52BF2">
              <w:rPr>
                <w:color w:val="000000" w:themeColor="text1"/>
                <w:szCs w:val="24"/>
              </w:rPr>
              <w:t>100</w:t>
            </w:r>
          </w:p>
        </w:tc>
      </w:tr>
      <w:tr w:rsidR="00D22F88" w:rsidRPr="00D52BF2" w:rsidTr="008C0546">
        <w:trPr>
          <w:trHeight w:val="356"/>
          <w:jc w:val="center"/>
        </w:trPr>
        <w:tc>
          <w:tcPr>
            <w:tcW w:w="4414"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ind w:left="1559"/>
              <w:rPr>
                <w:color w:val="000000" w:themeColor="text1"/>
                <w:szCs w:val="24"/>
              </w:rPr>
            </w:pPr>
            <w:r w:rsidRPr="00D52BF2">
              <w:rPr>
                <w:color w:val="000000" w:themeColor="text1"/>
                <w:szCs w:val="24"/>
              </w:rPr>
              <w:t>Lowest value</w:t>
            </w:r>
          </w:p>
        </w:tc>
        <w:tc>
          <w:tcPr>
            <w:tcW w:w="3788"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jc w:val="center"/>
              <w:rPr>
                <w:color w:val="000000" w:themeColor="text1"/>
                <w:szCs w:val="24"/>
              </w:rPr>
            </w:pPr>
            <w:r w:rsidRPr="00D52BF2">
              <w:rPr>
                <w:color w:val="000000" w:themeColor="text1"/>
                <w:szCs w:val="24"/>
              </w:rPr>
              <w:t>60</w:t>
            </w:r>
          </w:p>
        </w:tc>
      </w:tr>
      <w:tr w:rsidR="00D22F88" w:rsidRPr="00D52BF2" w:rsidTr="008C0546">
        <w:trPr>
          <w:trHeight w:val="356"/>
          <w:jc w:val="center"/>
        </w:trPr>
        <w:tc>
          <w:tcPr>
            <w:tcW w:w="4414"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ind w:left="1559"/>
              <w:rPr>
                <w:color w:val="000000" w:themeColor="text1"/>
                <w:szCs w:val="24"/>
              </w:rPr>
            </w:pPr>
            <w:r w:rsidRPr="00D52BF2">
              <w:rPr>
                <w:color w:val="000000" w:themeColor="text1"/>
                <w:szCs w:val="24"/>
              </w:rPr>
              <w:t>Grade point average</w:t>
            </w:r>
          </w:p>
        </w:tc>
        <w:tc>
          <w:tcPr>
            <w:tcW w:w="3788" w:type="dxa"/>
            <w:tcBorders>
              <w:top w:val="single" w:sz="4" w:space="0" w:color="auto"/>
              <w:left w:val="nil"/>
              <w:bottom w:val="single" w:sz="4" w:space="0" w:color="auto"/>
              <w:right w:val="nil"/>
            </w:tcBorders>
            <w:shd w:val="clear" w:color="auto" w:fill="auto"/>
            <w:noWrap/>
            <w:vAlign w:val="center"/>
            <w:hideMark/>
          </w:tcPr>
          <w:p w:rsidR="00D22F88" w:rsidRPr="00D52BF2" w:rsidRDefault="00D22F88" w:rsidP="00D22F88">
            <w:pPr>
              <w:spacing w:after="0" w:line="240" w:lineRule="auto"/>
              <w:jc w:val="center"/>
              <w:rPr>
                <w:color w:val="000000" w:themeColor="text1"/>
                <w:szCs w:val="24"/>
              </w:rPr>
            </w:pPr>
            <w:r w:rsidRPr="00D52BF2">
              <w:rPr>
                <w:color w:val="000000" w:themeColor="text1"/>
                <w:szCs w:val="24"/>
              </w:rPr>
              <w:t>82,30</w:t>
            </w:r>
          </w:p>
        </w:tc>
      </w:tr>
    </w:tbl>
    <w:p w:rsidR="00D22F88" w:rsidRPr="00D52BF2" w:rsidRDefault="00D22F88" w:rsidP="00D22F88">
      <w:pPr>
        <w:spacing w:after="0" w:line="480" w:lineRule="auto"/>
        <w:ind w:firstLine="720"/>
        <w:rPr>
          <w:color w:val="000000" w:themeColor="text1"/>
          <w:szCs w:val="24"/>
        </w:rPr>
      </w:pPr>
      <w:r w:rsidRPr="00D52BF2">
        <w:rPr>
          <w:color w:val="000000" w:themeColor="text1"/>
          <w:szCs w:val="24"/>
        </w:rPr>
        <w:t>Source: Appendix Data 19</w:t>
      </w:r>
    </w:p>
    <w:p w:rsidR="008044C4" w:rsidRPr="008044C4" w:rsidRDefault="008044C4" w:rsidP="008044C4">
      <w:pPr>
        <w:tabs>
          <w:tab w:val="left" w:pos="0"/>
        </w:tabs>
        <w:spacing w:after="0" w:line="360" w:lineRule="auto"/>
        <w:ind w:firstLine="709"/>
        <w:contextualSpacing/>
        <w:rPr>
          <w:rFonts w:eastAsiaTheme="minorEastAsia"/>
          <w:color w:val="000000" w:themeColor="text1"/>
          <w:szCs w:val="24"/>
          <w:lang w:val="en-US"/>
        </w:rPr>
      </w:pPr>
      <w:r w:rsidRPr="008044C4">
        <w:rPr>
          <w:rFonts w:eastAsiaTheme="minorEastAsia"/>
          <w:color w:val="000000" w:themeColor="text1"/>
          <w:szCs w:val="24"/>
          <w:lang w:val="en-US"/>
        </w:rPr>
        <w:t>According to Table 4.3, the 13 students who served as subjects for the description of student learning outcomes using the Demonstration learning model had an average class score of 82.30, with the best score being 100 and the lowest being 60.</w:t>
      </w:r>
    </w:p>
    <w:p w:rsidR="008044C4" w:rsidRPr="008044C4" w:rsidRDefault="008044C4" w:rsidP="008044C4">
      <w:pPr>
        <w:tabs>
          <w:tab w:val="left" w:pos="0"/>
        </w:tabs>
        <w:spacing w:after="0" w:line="360" w:lineRule="auto"/>
        <w:ind w:firstLine="709"/>
        <w:contextualSpacing/>
        <w:rPr>
          <w:rFonts w:eastAsiaTheme="minorEastAsia"/>
          <w:color w:val="000000" w:themeColor="text1"/>
          <w:szCs w:val="24"/>
          <w:lang w:val="en-US"/>
        </w:rPr>
      </w:pPr>
      <w:r w:rsidRPr="008044C4">
        <w:rPr>
          <w:rFonts w:eastAsiaTheme="minorEastAsia"/>
          <w:color w:val="000000" w:themeColor="text1"/>
          <w:szCs w:val="24"/>
          <w:lang w:val="en-US"/>
        </w:rPr>
        <w:t xml:space="preserve">The second cycle test's average result for the scientific learning outcomes is 82.30, which falls into the good category. In the second cycle exam, children from V UPT Public Elementary School 127 </w:t>
      </w:r>
      <w:proofErr w:type="spellStart"/>
      <w:r w:rsidRPr="008044C4">
        <w:rPr>
          <w:rFonts w:eastAsiaTheme="minorEastAsia"/>
          <w:color w:val="000000" w:themeColor="text1"/>
          <w:szCs w:val="24"/>
          <w:lang w:val="en-US"/>
        </w:rPr>
        <w:t>Inpres</w:t>
      </w:r>
      <w:proofErr w:type="spellEnd"/>
      <w:r w:rsidRPr="008044C4">
        <w:rPr>
          <w:rFonts w:eastAsiaTheme="minorEastAsia"/>
          <w:color w:val="000000" w:themeColor="text1"/>
          <w:szCs w:val="24"/>
          <w:lang w:val="en-US"/>
        </w:rPr>
        <w:t xml:space="preserve"> </w:t>
      </w:r>
      <w:proofErr w:type="spellStart"/>
      <w:r w:rsidRPr="008044C4">
        <w:rPr>
          <w:rFonts w:eastAsiaTheme="minorEastAsia"/>
          <w:color w:val="000000" w:themeColor="text1"/>
          <w:szCs w:val="24"/>
          <w:lang w:val="en-US"/>
        </w:rPr>
        <w:t>Komara</w:t>
      </w:r>
      <w:proofErr w:type="spellEnd"/>
      <w:r w:rsidRPr="008044C4">
        <w:rPr>
          <w:rFonts w:eastAsiaTheme="minorEastAsia"/>
          <w:color w:val="000000" w:themeColor="text1"/>
          <w:szCs w:val="24"/>
          <w:lang w:val="en-US"/>
        </w:rPr>
        <w:t xml:space="preserve"> </w:t>
      </w:r>
      <w:proofErr w:type="spellStart"/>
      <w:r w:rsidRPr="008044C4">
        <w:rPr>
          <w:rFonts w:eastAsiaTheme="minorEastAsia"/>
          <w:color w:val="000000" w:themeColor="text1"/>
          <w:szCs w:val="24"/>
          <w:lang w:val="en-US"/>
        </w:rPr>
        <w:t>IPolut</w:t>
      </w:r>
      <w:proofErr w:type="spellEnd"/>
      <w:r w:rsidRPr="008044C4">
        <w:rPr>
          <w:rFonts w:eastAsiaTheme="minorEastAsia"/>
          <w:color w:val="000000" w:themeColor="text1"/>
          <w:szCs w:val="24"/>
          <w:lang w:val="en-US"/>
        </w:rPr>
        <w:t xml:space="preserve"> District, </w:t>
      </w:r>
      <w:proofErr w:type="spellStart"/>
      <w:r w:rsidRPr="008044C4">
        <w:rPr>
          <w:rFonts w:eastAsiaTheme="minorEastAsia"/>
          <w:color w:val="000000" w:themeColor="text1"/>
          <w:szCs w:val="24"/>
          <w:lang w:val="en-US"/>
        </w:rPr>
        <w:t>Takalar</w:t>
      </w:r>
      <w:proofErr w:type="spellEnd"/>
      <w:r w:rsidRPr="008044C4">
        <w:rPr>
          <w:rFonts w:eastAsiaTheme="minorEastAsia"/>
          <w:color w:val="000000" w:themeColor="text1"/>
          <w:szCs w:val="24"/>
          <w:lang w:val="en-US"/>
        </w:rPr>
        <w:t xml:space="preserve"> Regency, scored in the excellent category for their scientific study.</w:t>
      </w:r>
    </w:p>
    <w:p w:rsidR="008044C4" w:rsidRPr="008044C4" w:rsidRDefault="008044C4" w:rsidP="008044C4">
      <w:pPr>
        <w:tabs>
          <w:tab w:val="left" w:pos="0"/>
        </w:tabs>
        <w:spacing w:after="0" w:line="360" w:lineRule="auto"/>
        <w:ind w:firstLine="709"/>
        <w:contextualSpacing/>
        <w:rPr>
          <w:rFonts w:eastAsiaTheme="minorEastAsia"/>
          <w:color w:val="000000" w:themeColor="text1"/>
          <w:szCs w:val="24"/>
          <w:lang w:val="en-US"/>
        </w:rPr>
      </w:pPr>
      <w:r w:rsidRPr="008044C4">
        <w:rPr>
          <w:rFonts w:eastAsiaTheme="minorEastAsia"/>
          <w:color w:val="000000" w:themeColor="text1"/>
          <w:szCs w:val="24"/>
          <w:lang w:val="en-US"/>
        </w:rPr>
        <w:t>If the student learning results from the second cycle test are examined, Table 4.6 shows the percentage of student learning completion as follows:</w:t>
      </w:r>
    </w:p>
    <w:p w:rsidR="008044C4" w:rsidRPr="00B41593" w:rsidRDefault="008044C4" w:rsidP="00B41593">
      <w:pPr>
        <w:tabs>
          <w:tab w:val="left" w:pos="0"/>
        </w:tabs>
        <w:spacing w:after="0" w:line="360" w:lineRule="auto"/>
        <w:ind w:firstLine="709"/>
        <w:contextualSpacing/>
        <w:rPr>
          <w:rFonts w:eastAsiaTheme="minorEastAsia"/>
          <w:color w:val="000000" w:themeColor="text1"/>
          <w:szCs w:val="24"/>
          <w:lang w:val="en-US"/>
        </w:rPr>
      </w:pPr>
    </w:p>
    <w:p w:rsidR="00D52BF2" w:rsidRPr="00B41593" w:rsidRDefault="00B41593" w:rsidP="00B41593">
      <w:pPr>
        <w:tabs>
          <w:tab w:val="left" w:pos="720"/>
        </w:tabs>
        <w:spacing w:after="0" w:line="240" w:lineRule="auto"/>
        <w:ind w:left="720" w:hanging="720"/>
        <w:contextualSpacing/>
        <w:jc w:val="left"/>
        <w:rPr>
          <w:rFonts w:eastAsiaTheme="minorEastAsia"/>
          <w:color w:val="000000" w:themeColor="text1"/>
          <w:szCs w:val="24"/>
          <w:lang w:val="en-US"/>
        </w:rPr>
      </w:pPr>
      <w:r w:rsidRPr="007F2F81">
        <w:rPr>
          <w:rFonts w:eastAsiaTheme="minorEastAsia"/>
          <w:b/>
          <w:color w:val="000000" w:themeColor="text1"/>
          <w:szCs w:val="24"/>
          <w:lang w:val="en-US"/>
        </w:rPr>
        <w:t>Table 4.4.</w:t>
      </w:r>
      <w:r w:rsidRPr="00B41593">
        <w:rPr>
          <w:rFonts w:eastAsiaTheme="minorEastAsia"/>
          <w:color w:val="000000" w:themeColor="text1"/>
          <w:szCs w:val="24"/>
          <w:lang w:val="en-US"/>
        </w:rPr>
        <w:t xml:space="preserve"> </w:t>
      </w:r>
      <w:r w:rsidR="008044C4" w:rsidRPr="008044C4">
        <w:rPr>
          <w:rFonts w:eastAsiaTheme="minorEastAsia"/>
          <w:color w:val="000000" w:themeColor="text1"/>
          <w:szCs w:val="24"/>
          <w:lang w:val="en-US"/>
        </w:rPr>
        <w:t xml:space="preserve">Percentage of Class V UPT Public Elementary School 127 </w:t>
      </w:r>
      <w:proofErr w:type="spellStart"/>
      <w:r w:rsidR="008044C4" w:rsidRPr="008044C4">
        <w:rPr>
          <w:rFonts w:eastAsiaTheme="minorEastAsia"/>
          <w:color w:val="000000" w:themeColor="text1"/>
          <w:szCs w:val="24"/>
          <w:lang w:val="en-US"/>
        </w:rPr>
        <w:t>Inpres</w:t>
      </w:r>
      <w:proofErr w:type="spellEnd"/>
      <w:r w:rsidR="008044C4" w:rsidRPr="008044C4">
        <w:rPr>
          <w:rFonts w:eastAsiaTheme="minorEastAsia"/>
          <w:color w:val="000000" w:themeColor="text1"/>
          <w:szCs w:val="24"/>
          <w:lang w:val="en-US"/>
        </w:rPr>
        <w:t xml:space="preserve"> </w:t>
      </w:r>
      <w:proofErr w:type="spellStart"/>
      <w:r w:rsidR="008044C4" w:rsidRPr="008044C4">
        <w:rPr>
          <w:rFonts w:eastAsiaTheme="minorEastAsia"/>
          <w:color w:val="000000" w:themeColor="text1"/>
          <w:szCs w:val="24"/>
          <w:lang w:val="en-US"/>
        </w:rPr>
        <w:t>Komara</w:t>
      </w:r>
      <w:proofErr w:type="spellEnd"/>
      <w:r w:rsidR="008044C4" w:rsidRPr="008044C4">
        <w:rPr>
          <w:rFonts w:eastAsiaTheme="minorEastAsia"/>
          <w:color w:val="000000" w:themeColor="text1"/>
          <w:szCs w:val="24"/>
          <w:lang w:val="en-US"/>
        </w:rPr>
        <w:t xml:space="preserve"> I, </w:t>
      </w:r>
      <w:proofErr w:type="spellStart"/>
      <w:r w:rsidR="008044C4" w:rsidRPr="008044C4">
        <w:rPr>
          <w:rFonts w:eastAsiaTheme="minorEastAsia"/>
          <w:color w:val="000000" w:themeColor="text1"/>
          <w:szCs w:val="24"/>
          <w:lang w:val="en-US"/>
        </w:rPr>
        <w:t>Polut</w:t>
      </w:r>
      <w:proofErr w:type="spellEnd"/>
      <w:r w:rsidR="008044C4" w:rsidRPr="008044C4">
        <w:rPr>
          <w:rFonts w:eastAsiaTheme="minorEastAsia"/>
          <w:color w:val="000000" w:themeColor="text1"/>
          <w:szCs w:val="24"/>
          <w:lang w:val="en-US"/>
        </w:rPr>
        <w:t xml:space="preserve"> District, </w:t>
      </w:r>
      <w:proofErr w:type="spellStart"/>
      <w:r w:rsidR="008044C4" w:rsidRPr="008044C4">
        <w:rPr>
          <w:rFonts w:eastAsiaTheme="minorEastAsia"/>
          <w:color w:val="000000" w:themeColor="text1"/>
          <w:szCs w:val="24"/>
          <w:lang w:val="en-US"/>
        </w:rPr>
        <w:t>Takalar</w:t>
      </w:r>
      <w:proofErr w:type="spellEnd"/>
      <w:r w:rsidR="008044C4" w:rsidRPr="008044C4">
        <w:rPr>
          <w:rFonts w:eastAsiaTheme="minorEastAsia"/>
          <w:color w:val="000000" w:themeColor="text1"/>
          <w:szCs w:val="24"/>
          <w:lang w:val="en-US"/>
        </w:rPr>
        <w:t xml:space="preserve"> Regency in Cycle II Students Who Completed All Science Learning Outcomes</w:t>
      </w:r>
    </w:p>
    <w:p w:rsidR="00D52BF2" w:rsidRPr="00D52BF2" w:rsidRDefault="00D52BF2" w:rsidP="00D52BF2">
      <w:pPr>
        <w:spacing w:after="0" w:line="240" w:lineRule="auto"/>
        <w:ind w:left="1077" w:hanging="1077"/>
        <w:rPr>
          <w:color w:val="000000" w:themeColor="text1"/>
          <w:szCs w:val="24"/>
        </w:rPr>
      </w:pPr>
    </w:p>
    <w:tbl>
      <w:tblPr>
        <w:tblW w:w="0" w:type="auto"/>
        <w:tblInd w:w="588" w:type="dxa"/>
        <w:tblLook w:val="04A0" w:firstRow="1" w:lastRow="0" w:firstColumn="1" w:lastColumn="0" w:noHBand="0" w:noVBand="1"/>
      </w:tblPr>
      <w:tblGrid>
        <w:gridCol w:w="2112"/>
        <w:gridCol w:w="2089"/>
        <w:gridCol w:w="2089"/>
        <w:gridCol w:w="1932"/>
      </w:tblGrid>
      <w:tr w:rsidR="00D52BF2" w:rsidRPr="00D52BF2" w:rsidTr="00430355">
        <w:tc>
          <w:tcPr>
            <w:tcW w:w="2112" w:type="dxa"/>
            <w:tcBorders>
              <w:top w:val="single" w:sz="4" w:space="0" w:color="auto"/>
              <w:left w:val="nil"/>
              <w:bottom w:val="single" w:sz="4" w:space="0" w:color="000000" w:themeColor="text1"/>
              <w:right w:val="nil"/>
            </w:tcBorders>
            <w:vAlign w:val="center"/>
          </w:tcPr>
          <w:p w:rsidR="00D52BF2" w:rsidRPr="00D52BF2" w:rsidRDefault="00D52BF2" w:rsidP="008C0546">
            <w:pPr>
              <w:spacing w:after="0" w:line="240" w:lineRule="auto"/>
              <w:jc w:val="center"/>
              <w:rPr>
                <w:b/>
                <w:color w:val="000000" w:themeColor="text1"/>
                <w:szCs w:val="24"/>
              </w:rPr>
            </w:pPr>
            <w:r w:rsidRPr="00D52BF2">
              <w:rPr>
                <w:b/>
                <w:color w:val="000000" w:themeColor="text1"/>
                <w:szCs w:val="24"/>
              </w:rPr>
              <w:t>KKM</w:t>
            </w:r>
          </w:p>
        </w:tc>
        <w:tc>
          <w:tcPr>
            <w:tcW w:w="2089" w:type="dxa"/>
            <w:tcBorders>
              <w:top w:val="single" w:sz="4" w:space="0" w:color="auto"/>
              <w:left w:val="nil"/>
              <w:bottom w:val="single" w:sz="4" w:space="0" w:color="000000" w:themeColor="text1"/>
              <w:right w:val="nil"/>
            </w:tcBorders>
            <w:vAlign w:val="center"/>
          </w:tcPr>
          <w:p w:rsidR="00D52BF2" w:rsidRPr="00D52BF2" w:rsidRDefault="00D52BF2" w:rsidP="008C0546">
            <w:pPr>
              <w:spacing w:after="0" w:line="240" w:lineRule="auto"/>
              <w:jc w:val="center"/>
              <w:rPr>
                <w:b/>
                <w:color w:val="000000" w:themeColor="text1"/>
                <w:szCs w:val="24"/>
              </w:rPr>
            </w:pPr>
            <w:r w:rsidRPr="00D52BF2">
              <w:rPr>
                <w:b/>
                <w:color w:val="000000" w:themeColor="text1"/>
                <w:szCs w:val="24"/>
              </w:rPr>
              <w:t>Kategori</w:t>
            </w:r>
          </w:p>
        </w:tc>
        <w:tc>
          <w:tcPr>
            <w:tcW w:w="2089" w:type="dxa"/>
            <w:tcBorders>
              <w:top w:val="single" w:sz="4" w:space="0" w:color="auto"/>
              <w:left w:val="nil"/>
              <w:bottom w:val="single" w:sz="4" w:space="0" w:color="000000" w:themeColor="text1"/>
              <w:right w:val="nil"/>
            </w:tcBorders>
            <w:vAlign w:val="center"/>
          </w:tcPr>
          <w:p w:rsidR="00D52BF2" w:rsidRPr="00D52BF2" w:rsidRDefault="00D52BF2" w:rsidP="008C0546">
            <w:pPr>
              <w:spacing w:after="0" w:line="240" w:lineRule="auto"/>
              <w:jc w:val="center"/>
              <w:rPr>
                <w:b/>
                <w:color w:val="000000" w:themeColor="text1"/>
                <w:szCs w:val="24"/>
              </w:rPr>
            </w:pPr>
            <w:r w:rsidRPr="00D52BF2">
              <w:rPr>
                <w:b/>
                <w:color w:val="000000" w:themeColor="text1"/>
                <w:szCs w:val="24"/>
              </w:rPr>
              <w:t>Frekuensi</w:t>
            </w:r>
          </w:p>
        </w:tc>
        <w:tc>
          <w:tcPr>
            <w:tcW w:w="1932" w:type="dxa"/>
            <w:tcBorders>
              <w:top w:val="single" w:sz="4" w:space="0" w:color="auto"/>
              <w:left w:val="nil"/>
              <w:bottom w:val="single" w:sz="4" w:space="0" w:color="000000" w:themeColor="text1"/>
              <w:right w:val="nil"/>
            </w:tcBorders>
            <w:vAlign w:val="center"/>
          </w:tcPr>
          <w:p w:rsidR="00D52BF2" w:rsidRPr="00D52BF2" w:rsidRDefault="00D52BF2" w:rsidP="008C0546">
            <w:pPr>
              <w:spacing w:after="0" w:line="240" w:lineRule="auto"/>
              <w:jc w:val="center"/>
              <w:rPr>
                <w:b/>
                <w:color w:val="000000" w:themeColor="text1"/>
                <w:szCs w:val="24"/>
              </w:rPr>
            </w:pPr>
            <w:r w:rsidRPr="00D52BF2">
              <w:rPr>
                <w:b/>
                <w:color w:val="000000" w:themeColor="text1"/>
                <w:szCs w:val="24"/>
              </w:rPr>
              <w:t>Presentase (%)</w:t>
            </w:r>
          </w:p>
        </w:tc>
      </w:tr>
      <w:tr w:rsidR="00B41593" w:rsidRPr="00D52BF2" w:rsidTr="00430355">
        <w:tc>
          <w:tcPr>
            <w:tcW w:w="2112" w:type="dxa"/>
            <w:tcBorders>
              <w:top w:val="single" w:sz="4" w:space="0" w:color="000000" w:themeColor="text1"/>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0,00 – 75,00</w:t>
            </w:r>
          </w:p>
        </w:tc>
        <w:tc>
          <w:tcPr>
            <w:tcW w:w="2089" w:type="dxa"/>
            <w:tcBorders>
              <w:top w:val="single" w:sz="4" w:space="0" w:color="000000" w:themeColor="text1"/>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Not Completed</w:t>
            </w:r>
          </w:p>
        </w:tc>
        <w:tc>
          <w:tcPr>
            <w:tcW w:w="2089" w:type="dxa"/>
            <w:tcBorders>
              <w:top w:val="single" w:sz="4" w:space="0" w:color="000000" w:themeColor="text1"/>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2</w:t>
            </w:r>
          </w:p>
        </w:tc>
        <w:tc>
          <w:tcPr>
            <w:tcW w:w="1932" w:type="dxa"/>
            <w:tcBorders>
              <w:top w:val="single" w:sz="4" w:space="0" w:color="000000" w:themeColor="text1"/>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15,38</w:t>
            </w:r>
          </w:p>
        </w:tc>
      </w:tr>
      <w:tr w:rsidR="00B41593" w:rsidRPr="00D52BF2" w:rsidTr="00430355">
        <w:tc>
          <w:tcPr>
            <w:tcW w:w="2112" w:type="dxa"/>
            <w:tcBorders>
              <w:top w:val="single" w:sz="4" w:space="0" w:color="auto"/>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76,00 – 100,00</w:t>
            </w:r>
          </w:p>
        </w:tc>
        <w:tc>
          <w:tcPr>
            <w:tcW w:w="2089" w:type="dxa"/>
            <w:tcBorders>
              <w:top w:val="single" w:sz="4" w:space="0" w:color="auto"/>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complete</w:t>
            </w:r>
          </w:p>
        </w:tc>
        <w:tc>
          <w:tcPr>
            <w:tcW w:w="2089" w:type="dxa"/>
            <w:tcBorders>
              <w:top w:val="single" w:sz="4" w:space="0" w:color="auto"/>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11</w:t>
            </w:r>
          </w:p>
        </w:tc>
        <w:tc>
          <w:tcPr>
            <w:tcW w:w="1932" w:type="dxa"/>
            <w:tcBorders>
              <w:top w:val="single" w:sz="4" w:space="0" w:color="auto"/>
              <w:left w:val="nil"/>
              <w:bottom w:val="single" w:sz="4" w:space="0" w:color="auto"/>
              <w:right w:val="nil"/>
            </w:tcBorders>
            <w:vAlign w:val="center"/>
          </w:tcPr>
          <w:p w:rsidR="00B41593" w:rsidRPr="00D52BF2" w:rsidRDefault="00B41593" w:rsidP="00B41593">
            <w:pPr>
              <w:spacing w:after="0" w:line="240" w:lineRule="auto"/>
              <w:jc w:val="center"/>
              <w:rPr>
                <w:color w:val="000000" w:themeColor="text1"/>
                <w:szCs w:val="24"/>
              </w:rPr>
            </w:pPr>
            <w:r w:rsidRPr="00D52BF2">
              <w:rPr>
                <w:color w:val="000000" w:themeColor="text1"/>
                <w:szCs w:val="24"/>
              </w:rPr>
              <w:t>84,61</w:t>
            </w:r>
          </w:p>
        </w:tc>
      </w:tr>
      <w:tr w:rsidR="00D52BF2" w:rsidRPr="00D52BF2" w:rsidTr="00430355">
        <w:tc>
          <w:tcPr>
            <w:tcW w:w="4201" w:type="dxa"/>
            <w:gridSpan w:val="2"/>
            <w:tcBorders>
              <w:top w:val="single" w:sz="4" w:space="0" w:color="auto"/>
              <w:left w:val="nil"/>
              <w:bottom w:val="single" w:sz="4" w:space="0" w:color="auto"/>
              <w:right w:val="nil"/>
            </w:tcBorders>
            <w:vAlign w:val="center"/>
          </w:tcPr>
          <w:p w:rsidR="00D52BF2" w:rsidRPr="00D52BF2" w:rsidRDefault="00D52BF2" w:rsidP="008C0546">
            <w:pPr>
              <w:spacing w:after="0" w:line="240" w:lineRule="auto"/>
              <w:jc w:val="center"/>
              <w:rPr>
                <w:color w:val="000000" w:themeColor="text1"/>
                <w:szCs w:val="24"/>
              </w:rPr>
            </w:pPr>
            <w:r w:rsidRPr="00D52BF2">
              <w:rPr>
                <w:color w:val="000000" w:themeColor="text1"/>
                <w:szCs w:val="24"/>
              </w:rPr>
              <w:t>Jumlah</w:t>
            </w:r>
          </w:p>
        </w:tc>
        <w:tc>
          <w:tcPr>
            <w:tcW w:w="2089" w:type="dxa"/>
            <w:tcBorders>
              <w:top w:val="single" w:sz="4" w:space="0" w:color="auto"/>
              <w:left w:val="nil"/>
              <w:bottom w:val="single" w:sz="4" w:space="0" w:color="auto"/>
              <w:right w:val="nil"/>
            </w:tcBorders>
            <w:vAlign w:val="center"/>
          </w:tcPr>
          <w:p w:rsidR="00D52BF2" w:rsidRPr="00D52BF2" w:rsidRDefault="00D52BF2" w:rsidP="008C0546">
            <w:pPr>
              <w:spacing w:after="0" w:line="240" w:lineRule="auto"/>
              <w:jc w:val="center"/>
              <w:rPr>
                <w:color w:val="000000" w:themeColor="text1"/>
                <w:szCs w:val="24"/>
              </w:rPr>
            </w:pPr>
            <w:r w:rsidRPr="00D52BF2">
              <w:rPr>
                <w:color w:val="000000" w:themeColor="text1"/>
                <w:szCs w:val="24"/>
              </w:rPr>
              <w:t>13</w:t>
            </w:r>
          </w:p>
        </w:tc>
        <w:tc>
          <w:tcPr>
            <w:tcW w:w="1932" w:type="dxa"/>
            <w:tcBorders>
              <w:top w:val="single" w:sz="4" w:space="0" w:color="auto"/>
              <w:left w:val="nil"/>
              <w:bottom w:val="single" w:sz="4" w:space="0" w:color="auto"/>
              <w:right w:val="nil"/>
            </w:tcBorders>
            <w:vAlign w:val="center"/>
          </w:tcPr>
          <w:p w:rsidR="00D52BF2" w:rsidRPr="00D52BF2" w:rsidRDefault="00D52BF2" w:rsidP="008C0546">
            <w:pPr>
              <w:spacing w:after="0" w:line="240" w:lineRule="auto"/>
              <w:jc w:val="center"/>
              <w:rPr>
                <w:color w:val="000000" w:themeColor="text1"/>
                <w:szCs w:val="24"/>
              </w:rPr>
            </w:pPr>
            <w:r w:rsidRPr="00D52BF2">
              <w:rPr>
                <w:color w:val="000000" w:themeColor="text1"/>
                <w:szCs w:val="24"/>
              </w:rPr>
              <w:t>100</w:t>
            </w:r>
          </w:p>
        </w:tc>
      </w:tr>
    </w:tbl>
    <w:p w:rsidR="00D52BF2" w:rsidRPr="00D52BF2" w:rsidRDefault="00430355" w:rsidP="00430355">
      <w:pPr>
        <w:spacing w:after="0" w:line="480" w:lineRule="auto"/>
        <w:ind w:firstLine="5"/>
        <w:rPr>
          <w:color w:val="000000" w:themeColor="text1"/>
          <w:szCs w:val="24"/>
        </w:rPr>
      </w:pPr>
      <w:r>
        <w:rPr>
          <w:color w:val="000000" w:themeColor="text1"/>
          <w:szCs w:val="24"/>
        </w:rPr>
        <w:t xml:space="preserve">          </w:t>
      </w:r>
      <w:r w:rsidR="00D52BF2" w:rsidRPr="00D52BF2">
        <w:rPr>
          <w:color w:val="000000" w:themeColor="text1"/>
          <w:szCs w:val="24"/>
        </w:rPr>
        <w:t>Sumber: Data Lampiran 19</w:t>
      </w:r>
    </w:p>
    <w:p w:rsidR="00BD2EE3" w:rsidRDefault="008044C4" w:rsidP="00430355">
      <w:pPr>
        <w:spacing w:after="0" w:line="360" w:lineRule="auto"/>
        <w:ind w:firstLine="720"/>
        <w:rPr>
          <w:bCs/>
          <w:color w:val="000000" w:themeColor="text1"/>
          <w:szCs w:val="24"/>
        </w:rPr>
      </w:pPr>
      <w:r w:rsidRPr="008044C4">
        <w:rPr>
          <w:bCs/>
          <w:color w:val="000000" w:themeColor="text1"/>
          <w:szCs w:val="24"/>
        </w:rPr>
        <w:lastRenderedPageBreak/>
        <w:t>According to Table 4.4, there were two students (15.38%) who did not finish their study results in science subjects out of the 13 Class V UPT Public Elementary School 127 Inpres Komara I students in the Takalar Regency. There were 11 students (84.61%) who finished their study results in science subjects. Cycle II students who completed more than 76% of their learning objectives, or 84.61% of them, were considered to have successfully fulfilled the classical learning outcomes for science.</w:t>
      </w:r>
    </w:p>
    <w:p w:rsidR="008044C4" w:rsidRPr="00D52BF2" w:rsidRDefault="008044C4" w:rsidP="00430355">
      <w:pPr>
        <w:spacing w:after="0" w:line="360" w:lineRule="auto"/>
        <w:ind w:firstLine="720"/>
        <w:rPr>
          <w:color w:val="000000" w:themeColor="text1"/>
          <w:szCs w:val="24"/>
        </w:rPr>
      </w:pPr>
    </w:p>
    <w:p w:rsidR="00D52BF2" w:rsidRDefault="00BD2EE3" w:rsidP="00430355">
      <w:pPr>
        <w:spacing w:after="0" w:line="480" w:lineRule="auto"/>
        <w:ind w:left="0" w:firstLine="0"/>
        <w:rPr>
          <w:b/>
          <w:szCs w:val="24"/>
        </w:rPr>
      </w:pPr>
      <w:r w:rsidRPr="00BD2EE3">
        <w:rPr>
          <w:b/>
          <w:szCs w:val="24"/>
        </w:rPr>
        <w:t>DISCUSSION</w:t>
      </w:r>
    </w:p>
    <w:p w:rsidR="008044C4" w:rsidRPr="008044C4" w:rsidRDefault="008044C4" w:rsidP="008044C4">
      <w:pPr>
        <w:spacing w:after="0" w:line="360" w:lineRule="auto"/>
        <w:ind w:firstLine="720"/>
        <w:rPr>
          <w:bCs/>
          <w:sz w:val="20"/>
          <w:szCs w:val="24"/>
        </w:rPr>
      </w:pPr>
      <w:r w:rsidRPr="008044C4">
        <w:rPr>
          <w:bCs/>
          <w:sz w:val="20"/>
          <w:szCs w:val="24"/>
        </w:rPr>
        <w:t>According to the earlier explanation, the research subject in this study—students in class V at UPT Public Elementary School 127 Inpres Komara I—will be used to discuss how to apply the demonstration learning model to improve student learning outcomes in science subjects with the subject Earth and the Universe. The planning, execution, observation, and reflection phases of the II cycles were used in this class action research project.</w:t>
      </w:r>
    </w:p>
    <w:p w:rsidR="008044C4" w:rsidRPr="008044C4" w:rsidRDefault="008044C4" w:rsidP="008044C4">
      <w:pPr>
        <w:spacing w:after="0" w:line="360" w:lineRule="auto"/>
        <w:ind w:firstLine="720"/>
        <w:rPr>
          <w:bCs/>
          <w:sz w:val="20"/>
          <w:szCs w:val="24"/>
        </w:rPr>
      </w:pPr>
      <w:r w:rsidRPr="008044C4">
        <w:rPr>
          <w:bCs/>
          <w:sz w:val="20"/>
          <w:szCs w:val="24"/>
        </w:rPr>
        <w:t>When using the Demonstration learning model to teach scientific courses, learning activities in the first action cycle still need to function at their best. By the researchers' established success measures, they are not. Therefore, it is important to focus on efforts to rectify current weaknesses and ensure that the achievements achieved in Cycle I actions are maintained in Cycle II activities in order to develop students' comprehension of the acts of Cycle II.</w:t>
      </w:r>
    </w:p>
    <w:p w:rsidR="008044C4" w:rsidRPr="008044C4" w:rsidRDefault="008044C4" w:rsidP="008044C4">
      <w:pPr>
        <w:spacing w:after="0" w:line="360" w:lineRule="auto"/>
        <w:ind w:firstLine="720"/>
        <w:rPr>
          <w:bCs/>
          <w:sz w:val="20"/>
          <w:szCs w:val="24"/>
        </w:rPr>
      </w:pPr>
      <w:r w:rsidRPr="008044C4">
        <w:rPr>
          <w:bCs/>
          <w:sz w:val="20"/>
          <w:szCs w:val="24"/>
        </w:rPr>
        <w:t>With the enhancements made to cycle II's activities and the presence of incentive, which is often used by the instructor, students may properly respond to questions on cycle II's final exam. The learning results of class V at UPT 127 Public Elementary School Inpres Komara I, Polut District, Takalar Regency, demonstrate the effectiveness of the implementation of instructional changes in cycle II. 13 students received a Good Qualification on the exam that was administered at the conclusion of the cycle. Two students have not yet attained th</w:t>
      </w:r>
      <w:r w:rsidR="002354EF">
        <w:rPr>
          <w:bCs/>
          <w:sz w:val="20"/>
          <w:szCs w:val="24"/>
        </w:rPr>
        <w:t xml:space="preserve">e Minimum Completeness Criteria, </w:t>
      </w:r>
      <w:r w:rsidRPr="008044C4">
        <w:rPr>
          <w:bCs/>
          <w:sz w:val="20"/>
          <w:szCs w:val="24"/>
        </w:rPr>
        <w:t>and 11 students had attained the</w:t>
      </w:r>
      <w:r w:rsidR="002354EF">
        <w:rPr>
          <w:bCs/>
          <w:sz w:val="20"/>
          <w:szCs w:val="24"/>
        </w:rPr>
        <w:t xml:space="preserve"> Minimum Completeness Standard </w:t>
      </w:r>
      <w:r w:rsidRPr="008044C4">
        <w:rPr>
          <w:bCs/>
          <w:sz w:val="20"/>
          <w:szCs w:val="24"/>
        </w:rPr>
        <w:t>of 76.</w:t>
      </w:r>
    </w:p>
    <w:p w:rsidR="00430355" w:rsidRDefault="002354EF" w:rsidP="00BD2EE3">
      <w:pPr>
        <w:spacing w:after="0" w:line="360" w:lineRule="auto"/>
        <w:ind w:firstLine="720"/>
        <w:rPr>
          <w:bCs/>
          <w:sz w:val="20"/>
          <w:szCs w:val="24"/>
        </w:rPr>
      </w:pPr>
      <w:r w:rsidRPr="002354EF">
        <w:rPr>
          <w:bCs/>
          <w:sz w:val="20"/>
          <w:szCs w:val="24"/>
        </w:rPr>
        <w:t>Thus, the researcher evaluates the demonstration learning model's application to see whether it is properly implemented in accordan</w:t>
      </w:r>
      <w:r>
        <w:rPr>
          <w:bCs/>
          <w:sz w:val="20"/>
          <w:szCs w:val="24"/>
        </w:rPr>
        <w:t xml:space="preserve">ce with the learning processes </w:t>
      </w:r>
      <w:r w:rsidR="00B115C2">
        <w:rPr>
          <w:bCs/>
          <w:sz w:val="20"/>
          <w:szCs w:val="24"/>
        </w:rPr>
        <w:fldChar w:fldCharType="begin" w:fldLock="1"/>
      </w:r>
      <w:r w:rsidR="00B115C2">
        <w:rPr>
          <w:bCs/>
          <w:sz w:val="20"/>
          <w:szCs w:val="24"/>
        </w:rPr>
        <w:instrText>ADDIN CSL_CITATION {"citationItems":[{"id":"ITEM-1","itemData":{"ISBN":"9786027345225","author":[{"dropping-particle":"","family":"Hidayat","given":"Ujang","non-dropping-particle":"","parse-names":false,"suffix":""}],"id":"ITEM-1","issued":{"date-parts":[["2016"]]},"number-of-pages":"1-162","publisher":"Bina Mulia Publishing","publisher-place":"Sukabumi","title":"Model-Model Pembelajaran Efektif: Suatu Panduan Menjadi Guru Profesional","type":"book"},"uris":["http://www.mendeley.com/documents/?uuid=ed0530d5-062b-424c-8251-dd39c6d2080e"]}],"mendeley":{"formattedCitation":"(Hidayat, 2016)","plainTextFormattedCitation":"(Hidayat, 2016)","previouslyFormattedCitation":"(Hidayat, 2016)"},"properties":{"noteIndex":0},"schema":"https://github.com/citation-style-language/schema/raw/master/csl-citation.json"}</w:instrText>
      </w:r>
      <w:r w:rsidR="00B115C2">
        <w:rPr>
          <w:bCs/>
          <w:sz w:val="20"/>
          <w:szCs w:val="24"/>
        </w:rPr>
        <w:fldChar w:fldCharType="separate"/>
      </w:r>
      <w:r w:rsidR="00B115C2" w:rsidRPr="00B115C2">
        <w:rPr>
          <w:bCs/>
          <w:noProof/>
          <w:sz w:val="20"/>
          <w:szCs w:val="24"/>
        </w:rPr>
        <w:t>(Hidayat, 2016)</w:t>
      </w:r>
      <w:r w:rsidR="00B115C2">
        <w:rPr>
          <w:bCs/>
          <w:sz w:val="20"/>
          <w:szCs w:val="24"/>
        </w:rPr>
        <w:fldChar w:fldCharType="end"/>
      </w:r>
      <w:r w:rsidR="00BD2EE3" w:rsidRPr="00BD2EE3">
        <w:rPr>
          <w:bCs/>
          <w:sz w:val="20"/>
          <w:szCs w:val="24"/>
        </w:rPr>
        <w:t xml:space="preserve">. </w:t>
      </w:r>
      <w:r w:rsidRPr="002354EF">
        <w:rPr>
          <w:bCs/>
          <w:sz w:val="20"/>
          <w:szCs w:val="24"/>
        </w:rPr>
        <w:t>Science learning results for students in class V at UPT 127 Public Elementary School Inpres Komara I have been shown to have improved.</w:t>
      </w:r>
    </w:p>
    <w:p w:rsidR="00BD2EE3" w:rsidRPr="00430355" w:rsidRDefault="00BD2EE3" w:rsidP="00BD2EE3">
      <w:pPr>
        <w:spacing w:after="0" w:line="360" w:lineRule="auto"/>
        <w:ind w:firstLine="720"/>
        <w:rPr>
          <w:bCs/>
          <w:sz w:val="20"/>
          <w:szCs w:val="24"/>
        </w:rPr>
      </w:pPr>
    </w:p>
    <w:p w:rsidR="00D52BF2" w:rsidRPr="00430355" w:rsidRDefault="00A235BB" w:rsidP="00430355">
      <w:pPr>
        <w:spacing w:after="130" w:line="360" w:lineRule="auto"/>
        <w:ind w:left="0" w:firstLine="0"/>
        <w:jc w:val="left"/>
        <w:rPr>
          <w:b/>
        </w:rPr>
      </w:pPr>
      <w:r w:rsidRPr="00A235BB">
        <w:rPr>
          <w:b/>
        </w:rPr>
        <w:t>CONCLUSIONS AND RECOMMENDATIONS</w:t>
      </w:r>
    </w:p>
    <w:p w:rsidR="00430355" w:rsidRPr="00A235BB" w:rsidRDefault="00A235BB" w:rsidP="00430355">
      <w:pPr>
        <w:tabs>
          <w:tab w:val="left" w:pos="540"/>
        </w:tabs>
        <w:spacing w:after="0" w:line="360" w:lineRule="auto"/>
        <w:ind w:left="0" w:firstLine="0"/>
        <w:rPr>
          <w:b/>
          <w:lang w:val="en-US"/>
        </w:rPr>
      </w:pPr>
      <w:r w:rsidRPr="00A235BB">
        <w:rPr>
          <w:b/>
          <w:lang w:val="en-US"/>
        </w:rPr>
        <w:t>Conclusion</w:t>
      </w:r>
    </w:p>
    <w:p w:rsidR="002354EF" w:rsidRDefault="002354EF" w:rsidP="002354EF">
      <w:pPr>
        <w:spacing w:after="0" w:line="360" w:lineRule="auto"/>
        <w:ind w:firstLine="725"/>
        <w:rPr>
          <w:rFonts w:eastAsia="Calibri"/>
        </w:rPr>
      </w:pPr>
      <w:r w:rsidRPr="002354EF">
        <w:rPr>
          <w:rFonts w:eastAsia="Calibri"/>
        </w:rPr>
        <w:t>The framing of the issue, the results of the data analysis, and the discussion suggest that the demonstrative learning technique may be used to improve the natural science learning outcomes for class V at UPT Elementary School 127 Inpres Komara I in the Takalar Regency. Evidence for this may be seen in the progression of cycle I instructors with adequate credentials to excellent qualifications in cycle II, as well as in the growth of each cycle. Students' cycle I adequate actions improved to cycle II extremely excellent qualifications. The average class value has grown from cycle I, which is in the good qualification category to complete, and cycle II, which is in both the qualification category to be finished or declared to be successful, further demonstrating an improvement in learning outcomes.</w:t>
      </w:r>
    </w:p>
    <w:p w:rsidR="00430355" w:rsidRPr="00A235BB" w:rsidRDefault="00A235BB" w:rsidP="00430355">
      <w:pPr>
        <w:spacing w:after="0" w:line="360" w:lineRule="auto"/>
        <w:rPr>
          <w:b/>
          <w:szCs w:val="24"/>
          <w:lang w:val="en-US"/>
        </w:rPr>
      </w:pPr>
      <w:r w:rsidRPr="00A235BB">
        <w:rPr>
          <w:b/>
          <w:szCs w:val="24"/>
          <w:lang w:val="en-US"/>
        </w:rPr>
        <w:t>Recommendations</w:t>
      </w:r>
    </w:p>
    <w:p w:rsidR="002354EF" w:rsidRPr="002354EF" w:rsidRDefault="002354EF" w:rsidP="002354EF">
      <w:pPr>
        <w:spacing w:after="0" w:line="360" w:lineRule="auto"/>
        <w:ind w:left="-15" w:firstLine="735"/>
        <w:rPr>
          <w:szCs w:val="24"/>
        </w:rPr>
      </w:pPr>
      <w:r w:rsidRPr="002354EF">
        <w:rPr>
          <w:szCs w:val="24"/>
        </w:rPr>
        <w:t>On the basis of the collected results, many suggestions are offered. These are what they are:</w:t>
      </w:r>
    </w:p>
    <w:p w:rsidR="002354EF" w:rsidRPr="002354EF" w:rsidRDefault="002354EF" w:rsidP="002354EF">
      <w:pPr>
        <w:pStyle w:val="ListParagraph"/>
        <w:numPr>
          <w:ilvl w:val="0"/>
          <w:numId w:val="13"/>
        </w:numPr>
        <w:spacing w:after="0" w:line="360" w:lineRule="auto"/>
        <w:rPr>
          <w:szCs w:val="24"/>
        </w:rPr>
      </w:pPr>
      <w:r w:rsidRPr="002354EF">
        <w:rPr>
          <w:szCs w:val="24"/>
        </w:rPr>
        <w:lastRenderedPageBreak/>
        <w:t>For teachers to be able to apply demonstrative learning techniques while covering Earth and Universe-related subjects in the Natural Sciences.</w:t>
      </w:r>
    </w:p>
    <w:p w:rsidR="002354EF" w:rsidRPr="002354EF" w:rsidRDefault="002354EF" w:rsidP="002354EF">
      <w:pPr>
        <w:pStyle w:val="ListParagraph"/>
        <w:numPr>
          <w:ilvl w:val="0"/>
          <w:numId w:val="13"/>
        </w:numPr>
        <w:spacing w:after="0" w:line="360" w:lineRule="auto"/>
        <w:rPr>
          <w:szCs w:val="24"/>
        </w:rPr>
      </w:pPr>
      <w:r w:rsidRPr="002354EF">
        <w:rPr>
          <w:szCs w:val="24"/>
        </w:rPr>
        <w:t>To find out how much this model may improve student learning outcomes, future researchers should build on this work and explore demonstrative learning models in diverse learning environments.</w:t>
      </w:r>
    </w:p>
    <w:p w:rsidR="002354EF" w:rsidRPr="002354EF" w:rsidRDefault="002354EF" w:rsidP="002354EF">
      <w:pPr>
        <w:pStyle w:val="ListParagraph"/>
        <w:numPr>
          <w:ilvl w:val="0"/>
          <w:numId w:val="13"/>
        </w:numPr>
        <w:spacing w:after="0" w:line="360" w:lineRule="auto"/>
        <w:rPr>
          <w:szCs w:val="24"/>
        </w:rPr>
      </w:pPr>
      <w:r w:rsidRPr="002354EF">
        <w:rPr>
          <w:szCs w:val="24"/>
        </w:rPr>
        <w:t>For the advantage of the audience, who may learn from this thesis by reading it.</w:t>
      </w:r>
    </w:p>
    <w:p w:rsidR="002354EF" w:rsidRPr="002354EF" w:rsidRDefault="002354EF" w:rsidP="002354EF">
      <w:pPr>
        <w:spacing w:after="0" w:line="360" w:lineRule="auto"/>
        <w:ind w:left="-15" w:firstLine="0"/>
        <w:rPr>
          <w:szCs w:val="24"/>
        </w:rPr>
      </w:pPr>
    </w:p>
    <w:p w:rsidR="006C61E4" w:rsidRDefault="00A235BB" w:rsidP="009E158E">
      <w:pPr>
        <w:pStyle w:val="Heading1"/>
      </w:pPr>
      <w:bookmarkStart w:id="0" w:name="_GoBack"/>
      <w:r w:rsidRPr="00A235BB">
        <w:t>REFERENCES</w:t>
      </w:r>
    </w:p>
    <w:p w:rsidR="00C365A6" w:rsidRPr="00C365A6" w:rsidRDefault="00B115C2" w:rsidP="009E158E">
      <w:pPr>
        <w:widowControl w:val="0"/>
        <w:autoSpaceDE w:val="0"/>
        <w:autoSpaceDN w:val="0"/>
        <w:adjustRightInd w:val="0"/>
        <w:spacing w:after="132" w:line="240" w:lineRule="auto"/>
        <w:ind w:left="480" w:hanging="480"/>
        <w:rPr>
          <w:noProof/>
          <w:szCs w:val="24"/>
        </w:rPr>
      </w:pPr>
      <w:r>
        <w:fldChar w:fldCharType="begin" w:fldLock="1"/>
      </w:r>
      <w:r>
        <w:instrText xml:space="preserve">ADDIN Mendeley Bibliography CSL_BIBLIOGRAPHY </w:instrText>
      </w:r>
      <w:r>
        <w:fldChar w:fldCharType="separate"/>
      </w:r>
      <w:r w:rsidR="00C365A6" w:rsidRPr="00C365A6">
        <w:rPr>
          <w:noProof/>
          <w:szCs w:val="24"/>
        </w:rPr>
        <w:t xml:space="preserve">Arikunto, S. (2021). </w:t>
      </w:r>
      <w:r w:rsidR="00C365A6" w:rsidRPr="00C365A6">
        <w:rPr>
          <w:i/>
          <w:iCs/>
          <w:noProof/>
          <w:szCs w:val="24"/>
        </w:rPr>
        <w:t>Penelitian Tindakan Kelas: Edisi Revisi</w:t>
      </w:r>
      <w:r w:rsidR="00C365A6" w:rsidRPr="00C365A6">
        <w:rPr>
          <w:noProof/>
          <w:szCs w:val="24"/>
        </w:rPr>
        <w:t>. Bumi Aksara.</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Aulia, L. N., Susilo, S., &amp; Subali, B. (2019). Upaya peningkatan kemandirian belajar siswa dengan model problem-based learning berbantuan media Edmodo. </w:t>
      </w:r>
      <w:r w:rsidRPr="00C365A6">
        <w:rPr>
          <w:i/>
          <w:iCs/>
          <w:noProof/>
          <w:szCs w:val="24"/>
        </w:rPr>
        <w:t>Jurnal Inovasi Pendidikan IPA</w:t>
      </w:r>
      <w:r w:rsidRPr="00C365A6">
        <w:rPr>
          <w:noProof/>
          <w:szCs w:val="24"/>
        </w:rPr>
        <w:t xml:space="preserve">, </w:t>
      </w:r>
      <w:r w:rsidRPr="00C365A6">
        <w:rPr>
          <w:i/>
          <w:iCs/>
          <w:noProof/>
          <w:szCs w:val="24"/>
        </w:rPr>
        <w:t>5</w:t>
      </w:r>
      <w:r w:rsidRPr="00C365A6">
        <w:rPr>
          <w:noProof/>
          <w:szCs w:val="24"/>
        </w:rPr>
        <w:t>(1), 69–78. https://doi.org/10.21831/jipi.v5i1.18707</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Botes, W., &amp; Barnett, E. (2022). The Analysis of Natural Science Lesson-Plans Integrating the Principles of Transformative Pedagogy. </w:t>
      </w:r>
      <w:r w:rsidRPr="00C365A6">
        <w:rPr>
          <w:i/>
          <w:iCs/>
          <w:noProof/>
          <w:szCs w:val="24"/>
        </w:rPr>
        <w:t>International Journal of Learning, Teaching and Educational Research</w:t>
      </w:r>
      <w:r w:rsidRPr="00C365A6">
        <w:rPr>
          <w:noProof/>
          <w:szCs w:val="24"/>
        </w:rPr>
        <w:t xml:space="preserve">, </w:t>
      </w:r>
      <w:r w:rsidRPr="00C365A6">
        <w:rPr>
          <w:i/>
          <w:iCs/>
          <w:noProof/>
          <w:szCs w:val="24"/>
        </w:rPr>
        <w:t>21</w:t>
      </w:r>
      <w:r w:rsidRPr="00C365A6">
        <w:rPr>
          <w:noProof/>
          <w:szCs w:val="24"/>
        </w:rPr>
        <w:t>(10), 249–264. https://doi.org/10.26803/ijlter.21.10.13</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Damanik, D. P., &amp; Bukit, N. (2013). Analisis Kemampuan Berpikir Kritis Dan Sikap Ilmiah Pada Pembelajaran Fisika Menggunakan Model Pembelajaran Inquiry Training (IT) Dan Direct Instruction (DI). </w:t>
      </w:r>
      <w:r w:rsidRPr="00C365A6">
        <w:rPr>
          <w:i/>
          <w:iCs/>
          <w:noProof/>
          <w:szCs w:val="24"/>
        </w:rPr>
        <w:t>Jurnal Pendidikan Fisika</w:t>
      </w:r>
      <w:r w:rsidRPr="00C365A6">
        <w:rPr>
          <w:noProof/>
          <w:szCs w:val="24"/>
        </w:rPr>
        <w:t xml:space="preserve">, </w:t>
      </w:r>
      <w:r w:rsidRPr="00C365A6">
        <w:rPr>
          <w:i/>
          <w:iCs/>
          <w:noProof/>
          <w:szCs w:val="24"/>
        </w:rPr>
        <w:t>2</w:t>
      </w:r>
      <w:r w:rsidRPr="00C365A6">
        <w:rPr>
          <w:noProof/>
          <w:szCs w:val="24"/>
        </w:rPr>
        <w:t>(1), 16–24. http://jurnal.unimed.ac.id/2012/index.php/jpf</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Darmayanti, N. W. S., Artini, N. P. J., Juniartina, P. P., Wahyuni, N. N. T., Wijaya, I. K. W. B., Setiawati, G. A. D., Kristiandayanti,  adek A., &amp; Januariawan, I. W. (2022). </w:t>
      </w:r>
      <w:r w:rsidRPr="00C365A6">
        <w:rPr>
          <w:i/>
          <w:iCs/>
          <w:noProof/>
          <w:szCs w:val="24"/>
        </w:rPr>
        <w:t>Strategi Pembelajaran IPA di Sekolah Dasar (SD)</w:t>
      </w:r>
      <w:r w:rsidRPr="00C365A6">
        <w:rPr>
          <w:noProof/>
          <w:szCs w:val="24"/>
        </w:rPr>
        <w:t xml:space="preserve"> (1st ed.). CV Pena Persada.</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Dunn, K. E., Rakes, G. C., &amp; Rakes, T. A. (2014). Influence of academic self-regulation, critical thinking, and age on online graduate students’ academic help-seeking. </w:t>
      </w:r>
      <w:r w:rsidRPr="00C365A6">
        <w:rPr>
          <w:i/>
          <w:iCs/>
          <w:noProof/>
          <w:szCs w:val="24"/>
        </w:rPr>
        <w:t>Distance Education</w:t>
      </w:r>
      <w:r w:rsidRPr="00C365A6">
        <w:rPr>
          <w:noProof/>
          <w:szCs w:val="24"/>
        </w:rPr>
        <w:t xml:space="preserve">, </w:t>
      </w:r>
      <w:r w:rsidRPr="00C365A6">
        <w:rPr>
          <w:i/>
          <w:iCs/>
          <w:noProof/>
          <w:szCs w:val="24"/>
        </w:rPr>
        <w:t>35</w:t>
      </w:r>
      <w:r w:rsidRPr="00C365A6">
        <w:rPr>
          <w:noProof/>
          <w:szCs w:val="24"/>
        </w:rPr>
        <w:t>(1), 75–89. https://doi.org/10.1080/01587919.2014.891426</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Ennis, R. H. (1993). Critical thinking assessment. </w:t>
      </w:r>
      <w:r w:rsidRPr="00C365A6">
        <w:rPr>
          <w:i/>
          <w:iCs/>
          <w:noProof/>
          <w:szCs w:val="24"/>
        </w:rPr>
        <w:t>Theory Into Practice</w:t>
      </w:r>
      <w:r w:rsidRPr="00C365A6">
        <w:rPr>
          <w:noProof/>
          <w:szCs w:val="24"/>
        </w:rPr>
        <w:t xml:space="preserve">, </w:t>
      </w:r>
      <w:r w:rsidRPr="00C365A6">
        <w:rPr>
          <w:i/>
          <w:iCs/>
          <w:noProof/>
          <w:szCs w:val="24"/>
        </w:rPr>
        <w:t>32</w:t>
      </w:r>
      <w:r w:rsidRPr="00C365A6">
        <w:rPr>
          <w:noProof/>
          <w:szCs w:val="24"/>
        </w:rPr>
        <w:t>(3), 179–186. https://doi.org/10.1080/00405849309543594</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Fernandes, N. de S., &amp; de Faria, L. R. A. (2023). The work of the pedagogical coordinator of elementary education I from the critical perspective of education. </w:t>
      </w:r>
      <w:r w:rsidRPr="00C365A6">
        <w:rPr>
          <w:i/>
          <w:iCs/>
          <w:noProof/>
          <w:szCs w:val="24"/>
        </w:rPr>
        <w:t>Acta Scientiarum - Education</w:t>
      </w:r>
      <w:r w:rsidRPr="00C365A6">
        <w:rPr>
          <w:noProof/>
          <w:szCs w:val="24"/>
        </w:rPr>
        <w:t xml:space="preserve">, </w:t>
      </w:r>
      <w:r w:rsidRPr="00C365A6">
        <w:rPr>
          <w:i/>
          <w:iCs/>
          <w:noProof/>
          <w:szCs w:val="24"/>
        </w:rPr>
        <w:t>45</w:t>
      </w:r>
      <w:r w:rsidRPr="00C365A6">
        <w:rPr>
          <w:noProof/>
          <w:szCs w:val="24"/>
        </w:rPr>
        <w:t>, 1–12. https://doi.org/10.4025/actascieduc.v45i1.55531</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Hidayat, U. (2016). </w:t>
      </w:r>
      <w:r w:rsidRPr="00C365A6">
        <w:rPr>
          <w:i/>
          <w:iCs/>
          <w:noProof/>
          <w:szCs w:val="24"/>
        </w:rPr>
        <w:t>Model-Model Pembelajaran Efektif: Suatu Panduan Menjadi Guru Profesional</w:t>
      </w:r>
      <w:r w:rsidRPr="00C365A6">
        <w:rPr>
          <w:noProof/>
          <w:szCs w:val="24"/>
        </w:rPr>
        <w:t>. Bina Mulia Publishing.</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Humphrey, E. A., &amp; Wiles, J. R. (2021). Lessons learned through listening to biology students during a transition to online learning in the wake of the COVID-19 pandemic. </w:t>
      </w:r>
      <w:r w:rsidRPr="00C365A6">
        <w:rPr>
          <w:i/>
          <w:iCs/>
          <w:noProof/>
          <w:szCs w:val="24"/>
        </w:rPr>
        <w:t>Ecology and Evolution</w:t>
      </w:r>
      <w:r w:rsidRPr="00C365A6">
        <w:rPr>
          <w:noProof/>
          <w:szCs w:val="24"/>
        </w:rPr>
        <w:t xml:space="preserve">, </w:t>
      </w:r>
      <w:r w:rsidRPr="00C365A6">
        <w:rPr>
          <w:i/>
          <w:iCs/>
          <w:noProof/>
          <w:szCs w:val="24"/>
        </w:rPr>
        <w:t>February</w:t>
      </w:r>
      <w:r w:rsidRPr="00C365A6">
        <w:rPr>
          <w:noProof/>
          <w:szCs w:val="24"/>
        </w:rPr>
        <w:t>, 3450–3458. https://doi.org/10.1002/ece3.7303</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Kurnianto, B., &amp; Haryani, S. (2020). Critical Thinking Skills and Learning Outcomes by Improving Motivation in the Model of Flipped Classroom. </w:t>
      </w:r>
      <w:r w:rsidRPr="00C365A6">
        <w:rPr>
          <w:i/>
          <w:iCs/>
          <w:noProof/>
          <w:szCs w:val="24"/>
        </w:rPr>
        <w:t>Journal of Primary Education</w:t>
      </w:r>
      <w:r w:rsidRPr="00C365A6">
        <w:rPr>
          <w:noProof/>
          <w:szCs w:val="24"/>
        </w:rPr>
        <w:t xml:space="preserve">, </w:t>
      </w:r>
      <w:r w:rsidRPr="00C365A6">
        <w:rPr>
          <w:i/>
          <w:iCs/>
          <w:noProof/>
          <w:szCs w:val="24"/>
        </w:rPr>
        <w:t>9</w:t>
      </w:r>
      <w:r w:rsidRPr="00C365A6">
        <w:rPr>
          <w:noProof/>
          <w:szCs w:val="24"/>
        </w:rPr>
        <w:t>(3), 282–291.</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Legvart, P., Kordigel Aberšek, M., &amp; Kerneža, M. (2021). Primary School Students’ Natural Science Digital Literacy Competence in Digital Learning Environments. </w:t>
      </w:r>
      <w:r w:rsidRPr="00C365A6">
        <w:rPr>
          <w:i/>
          <w:iCs/>
          <w:noProof/>
          <w:szCs w:val="24"/>
        </w:rPr>
        <w:t>Proceedings of the 4th International Baltic Symposium on Science and Technology Education, BalticSTE2021</w:t>
      </w:r>
      <w:r w:rsidRPr="00C365A6">
        <w:rPr>
          <w:noProof/>
          <w:szCs w:val="24"/>
        </w:rPr>
        <w:t>, 105–114. https://doi.org/10.33225/balticste/2021.105</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Liebig, P., Pröhl, H., Sudhaus-Jörn, N., Hankel, J., Visscher, C., &amp; Jung, K. (2022). Interactive, Browser-Based Graphics to Visualize Complex Data in Education of Biomedical Sciences for Veterinary Students. </w:t>
      </w:r>
      <w:r w:rsidRPr="00C365A6">
        <w:rPr>
          <w:i/>
          <w:iCs/>
          <w:noProof/>
          <w:szCs w:val="24"/>
        </w:rPr>
        <w:t>Medical Science Educator</w:t>
      </w:r>
      <w:r w:rsidRPr="00C365A6">
        <w:rPr>
          <w:noProof/>
          <w:szCs w:val="24"/>
        </w:rPr>
        <w:t xml:space="preserve">, </w:t>
      </w:r>
      <w:r w:rsidRPr="00C365A6">
        <w:rPr>
          <w:i/>
          <w:iCs/>
          <w:noProof/>
          <w:szCs w:val="24"/>
        </w:rPr>
        <w:t>32</w:t>
      </w:r>
      <w:r w:rsidRPr="00C365A6">
        <w:rPr>
          <w:noProof/>
          <w:szCs w:val="24"/>
        </w:rPr>
        <w:t>(6), 1323–1335. https://doi.org/10.1007/s40670-022-01613-x</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Lin, C. Y., Lin, H. H., Ting, K. C., Shen, C. C., Lo, C. C., Hung, H. C., &amp; Tsai, L. J. (2023). A Study on the </w:t>
      </w:r>
      <w:r w:rsidRPr="00C365A6">
        <w:rPr>
          <w:noProof/>
          <w:szCs w:val="24"/>
        </w:rPr>
        <w:lastRenderedPageBreak/>
        <w:t xml:space="preserve">Influence of Recreational Activities Intervening in Natural Science Courses on Learning Motivation and Learning Outcomes—The Case of Tabletop Games. </w:t>
      </w:r>
      <w:r w:rsidRPr="00C365A6">
        <w:rPr>
          <w:i/>
          <w:iCs/>
          <w:noProof/>
          <w:szCs w:val="24"/>
        </w:rPr>
        <w:t>Sustainability (Switzerland)</w:t>
      </w:r>
      <w:r w:rsidRPr="00C365A6">
        <w:rPr>
          <w:noProof/>
          <w:szCs w:val="24"/>
        </w:rPr>
        <w:t xml:space="preserve">, </w:t>
      </w:r>
      <w:r w:rsidRPr="00C365A6">
        <w:rPr>
          <w:i/>
          <w:iCs/>
          <w:noProof/>
          <w:szCs w:val="24"/>
        </w:rPr>
        <w:t>15</w:t>
      </w:r>
      <w:r w:rsidRPr="00C365A6">
        <w:rPr>
          <w:noProof/>
          <w:szCs w:val="24"/>
        </w:rPr>
        <w:t>(3). https://doi.org/10.3390/su15032509</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M.Tampubolon, S. (2014). </w:t>
      </w:r>
      <w:r w:rsidRPr="00C365A6">
        <w:rPr>
          <w:i/>
          <w:iCs/>
          <w:noProof/>
          <w:szCs w:val="24"/>
        </w:rPr>
        <w:t>Penelitian Tindakan Kelas</w:t>
      </w:r>
      <w:r w:rsidRPr="00C365A6">
        <w:rPr>
          <w:noProof/>
          <w:szCs w:val="24"/>
        </w:rPr>
        <w:t>. Erlangga.</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Mandumpal, J. B., Ferdinand-James, D. S., Ziarati, P., Hussein, E. K., Umachandran, K., &amp; Kennedy, I. G. (2022). Innovation-based learning (InnBL): Turning science and engineering undergraduate degree programmes towards innovation. </w:t>
      </w:r>
      <w:r w:rsidRPr="00C365A6">
        <w:rPr>
          <w:i/>
          <w:iCs/>
          <w:noProof/>
          <w:szCs w:val="24"/>
        </w:rPr>
        <w:t>Journal of Creativity</w:t>
      </w:r>
      <w:r w:rsidRPr="00C365A6">
        <w:rPr>
          <w:noProof/>
          <w:szCs w:val="24"/>
        </w:rPr>
        <w:t xml:space="preserve">, </w:t>
      </w:r>
      <w:r w:rsidRPr="00C365A6">
        <w:rPr>
          <w:i/>
          <w:iCs/>
          <w:noProof/>
          <w:szCs w:val="24"/>
        </w:rPr>
        <w:t>32</w:t>
      </w:r>
      <w:r w:rsidRPr="00C365A6">
        <w:rPr>
          <w:noProof/>
          <w:szCs w:val="24"/>
        </w:rPr>
        <w:t>(1), 100013. https://doi.org/10.1016/j.yjoc.2021.100013</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Nurbaeti, R. U. (2020). Pengembangan Modul Praktikum IPA Berbasis Kurikulum 2013 untuk Mahasiswa Pendidikan Guru Sekolah Dasar. </w:t>
      </w:r>
      <w:r w:rsidRPr="00C365A6">
        <w:rPr>
          <w:i/>
          <w:iCs/>
          <w:noProof/>
          <w:szCs w:val="24"/>
        </w:rPr>
        <w:t>Jurnal Elementaria Edukasia</w:t>
      </w:r>
      <w:r w:rsidRPr="00C365A6">
        <w:rPr>
          <w:noProof/>
          <w:szCs w:val="24"/>
        </w:rPr>
        <w:t xml:space="preserve">, </w:t>
      </w:r>
      <w:r w:rsidRPr="00C365A6">
        <w:rPr>
          <w:i/>
          <w:iCs/>
          <w:noProof/>
          <w:szCs w:val="24"/>
        </w:rPr>
        <w:t>3</w:t>
      </w:r>
      <w:r w:rsidRPr="00C365A6">
        <w:rPr>
          <w:noProof/>
          <w:szCs w:val="24"/>
        </w:rPr>
        <w:t>(1), 109–116. http://jurnal.unma.ac.id/index.php/jee/article/view/2115</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Nurlaila, D., Tawil, M., &amp; Haris, A. (2016). Analisis Keterampilan Berpikir Kreatif Fisika Pada Peserta Didik Kelas XI IPA 1 SMA Negeri 2 Bua Ponrang. </w:t>
      </w:r>
      <w:r w:rsidRPr="00C365A6">
        <w:rPr>
          <w:i/>
          <w:iCs/>
          <w:noProof/>
          <w:szCs w:val="24"/>
        </w:rPr>
        <w:t>Jurnal Pendidikan Fisika Universitas Muhammadiyah Makassar</w:t>
      </w:r>
      <w:r w:rsidRPr="00C365A6">
        <w:rPr>
          <w:noProof/>
          <w:szCs w:val="24"/>
        </w:rPr>
        <w:t xml:space="preserve">, </w:t>
      </w:r>
      <w:r w:rsidRPr="00C365A6">
        <w:rPr>
          <w:i/>
          <w:iCs/>
          <w:noProof/>
          <w:szCs w:val="24"/>
        </w:rPr>
        <w:t>4</w:t>
      </w:r>
      <w:r w:rsidRPr="00C365A6">
        <w:rPr>
          <w:noProof/>
          <w:szCs w:val="24"/>
        </w:rPr>
        <w:t>(1), 127–144. https://journal.unismuh.ac.id/index.php/jpf/article/view/304/279</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Oktaviani, P., Hartono, H., &amp; Marwoto, P. (2017). Pengembangan Multimedia Interaktif Bervisi SETS sebagai Alat Bantu Model Problem Based Learning (PBL) dalam Pembelajaran IPA di SMP untuk Meningkatkan Kemampuan Berpikir Kritis dan Keterampilan Sosial Peserta Didik. </w:t>
      </w:r>
      <w:r w:rsidRPr="00C365A6">
        <w:rPr>
          <w:i/>
          <w:iCs/>
          <w:noProof/>
          <w:szCs w:val="24"/>
        </w:rPr>
        <w:t>PSEJ (Pancasakti Science Education Journal)</w:t>
      </w:r>
      <w:r w:rsidRPr="00C365A6">
        <w:rPr>
          <w:noProof/>
          <w:szCs w:val="24"/>
        </w:rPr>
        <w:t xml:space="preserve">, </w:t>
      </w:r>
      <w:r w:rsidRPr="00C365A6">
        <w:rPr>
          <w:i/>
          <w:iCs/>
          <w:noProof/>
          <w:szCs w:val="24"/>
        </w:rPr>
        <w:t>2</w:t>
      </w:r>
      <w:r w:rsidRPr="00C365A6">
        <w:rPr>
          <w:noProof/>
          <w:szCs w:val="24"/>
        </w:rPr>
        <w:t>(2), 125. https://doi.org/10.24905/psej.v2i2.746</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Pebriani, C. (2017). Pengaruh penggunaan media video terhadap motivasi dan hasil belajar kognitif pembelajaran IPA kelas V. </w:t>
      </w:r>
      <w:r w:rsidRPr="00C365A6">
        <w:rPr>
          <w:i/>
          <w:iCs/>
          <w:noProof/>
          <w:szCs w:val="24"/>
        </w:rPr>
        <w:t>Jurnal Prima Edukasia</w:t>
      </w:r>
      <w:r w:rsidRPr="00C365A6">
        <w:rPr>
          <w:noProof/>
          <w:szCs w:val="24"/>
        </w:rPr>
        <w:t xml:space="preserve">, </w:t>
      </w:r>
      <w:r w:rsidRPr="00C365A6">
        <w:rPr>
          <w:i/>
          <w:iCs/>
          <w:noProof/>
          <w:szCs w:val="24"/>
        </w:rPr>
        <w:t>5</w:t>
      </w:r>
      <w:r w:rsidRPr="00C365A6">
        <w:rPr>
          <w:noProof/>
          <w:szCs w:val="24"/>
        </w:rPr>
        <w:t>(1), 11–21. https://doi.org/10.21831/jpe.v5i1.8461</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Pinatih, S. A. C. (2021). </w:t>
      </w:r>
      <w:r w:rsidRPr="00C365A6">
        <w:rPr>
          <w:i/>
          <w:iCs/>
          <w:noProof/>
          <w:szCs w:val="24"/>
        </w:rPr>
        <w:t>Pengembangan Media Pembelajaran Komik Digital Berbasis Pendekatan Saintifik pada Muatan IPA Kelas V di SD N 2 Gianyar Tahun Ajaran 2020/2021</w:t>
      </w:r>
      <w:r w:rsidRPr="00C365A6">
        <w:rPr>
          <w:noProof/>
          <w:szCs w:val="24"/>
        </w:rPr>
        <w:t>. Universitas Pendidikan Ganesha.</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Sajidan, Suranto, Atmojo, I. R. W., Saputri, D. Y., &amp; Etviana, R. (2022). Problem-Based Learning-Collaboration (Pbl-C) Model in Elementary School Science Learning in the Industrial Revolution Era 4.0 and Indonesia Society 5.0. </w:t>
      </w:r>
      <w:r w:rsidRPr="00C365A6">
        <w:rPr>
          <w:i/>
          <w:iCs/>
          <w:noProof/>
          <w:szCs w:val="24"/>
        </w:rPr>
        <w:t>Jurnal Pendidikan IPA Indonesia</w:t>
      </w:r>
      <w:r w:rsidRPr="00C365A6">
        <w:rPr>
          <w:noProof/>
          <w:szCs w:val="24"/>
        </w:rPr>
        <w:t xml:space="preserve">, </w:t>
      </w:r>
      <w:r w:rsidRPr="00C365A6">
        <w:rPr>
          <w:i/>
          <w:iCs/>
          <w:noProof/>
          <w:szCs w:val="24"/>
        </w:rPr>
        <w:t>11</w:t>
      </w:r>
      <w:r w:rsidRPr="00C365A6">
        <w:rPr>
          <w:noProof/>
          <w:szCs w:val="24"/>
        </w:rPr>
        <w:t>(3), 477–488. https://doi.org/10.15294/jpii.v11i3.30631</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Suranto. (2015). </w:t>
      </w:r>
      <w:r w:rsidRPr="00C365A6">
        <w:rPr>
          <w:i/>
          <w:iCs/>
          <w:noProof/>
          <w:szCs w:val="24"/>
        </w:rPr>
        <w:t>Teori Belajar &amp; Pembelajaran Kontenporer</w:t>
      </w:r>
      <w:r w:rsidRPr="00C365A6">
        <w:rPr>
          <w:noProof/>
          <w:szCs w:val="24"/>
        </w:rPr>
        <w:t xml:space="preserve"> (Mutrofin (ed.)). LaksBang PRESSindo Yogyakarta.</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Syawaludin, A., Gunarhadi, &amp; Rintayati, P. (2019). Enhancing elementary school students’ abstract reasoning in science learning through augmented reality-based interactive multimedia. </w:t>
      </w:r>
      <w:r w:rsidRPr="00C365A6">
        <w:rPr>
          <w:i/>
          <w:iCs/>
          <w:noProof/>
          <w:szCs w:val="24"/>
        </w:rPr>
        <w:t>Jurnal Pendidikan IPA Indonesia</w:t>
      </w:r>
      <w:r w:rsidRPr="00C365A6">
        <w:rPr>
          <w:noProof/>
          <w:szCs w:val="24"/>
        </w:rPr>
        <w:t xml:space="preserve">, </w:t>
      </w:r>
      <w:r w:rsidRPr="00C365A6">
        <w:rPr>
          <w:i/>
          <w:iCs/>
          <w:noProof/>
          <w:szCs w:val="24"/>
        </w:rPr>
        <w:t>8</w:t>
      </w:r>
      <w:r w:rsidRPr="00C365A6">
        <w:rPr>
          <w:noProof/>
          <w:szCs w:val="24"/>
        </w:rPr>
        <w:t>(2), 288–297. https://doi.org/10.15294/jpii.v8i2.19249</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Wada, T., &amp; Scarfone, A. M. (2023). On the Kaniadakis Distributions Applied in Statistical Physics and Natural Sciences. </w:t>
      </w:r>
      <w:r w:rsidRPr="00C365A6">
        <w:rPr>
          <w:i/>
          <w:iCs/>
          <w:noProof/>
          <w:szCs w:val="24"/>
        </w:rPr>
        <w:t>Entropy</w:t>
      </w:r>
      <w:r w:rsidRPr="00C365A6">
        <w:rPr>
          <w:noProof/>
          <w:szCs w:val="24"/>
        </w:rPr>
        <w:t xml:space="preserve">, </w:t>
      </w:r>
      <w:r w:rsidRPr="00C365A6">
        <w:rPr>
          <w:i/>
          <w:iCs/>
          <w:noProof/>
          <w:szCs w:val="24"/>
        </w:rPr>
        <w:t>25</w:t>
      </w:r>
      <w:r w:rsidRPr="00C365A6">
        <w:rPr>
          <w:noProof/>
          <w:szCs w:val="24"/>
        </w:rPr>
        <w:t>(2), 1–13. https://doi.org/10.3390/e25020292</w:t>
      </w:r>
    </w:p>
    <w:p w:rsidR="00C365A6" w:rsidRPr="00C365A6" w:rsidRDefault="00C365A6" w:rsidP="009E158E">
      <w:pPr>
        <w:widowControl w:val="0"/>
        <w:autoSpaceDE w:val="0"/>
        <w:autoSpaceDN w:val="0"/>
        <w:adjustRightInd w:val="0"/>
        <w:spacing w:after="132" w:line="240" w:lineRule="auto"/>
        <w:ind w:left="480" w:hanging="480"/>
        <w:rPr>
          <w:noProof/>
          <w:szCs w:val="24"/>
        </w:rPr>
      </w:pPr>
      <w:r w:rsidRPr="00C365A6">
        <w:rPr>
          <w:noProof/>
          <w:szCs w:val="24"/>
        </w:rPr>
        <w:t xml:space="preserve">Wijoyo, H. (2021). </w:t>
      </w:r>
      <w:r w:rsidRPr="00C365A6">
        <w:rPr>
          <w:i/>
          <w:iCs/>
          <w:noProof/>
          <w:szCs w:val="24"/>
        </w:rPr>
        <w:t>Manajemen Kurikulum</w:t>
      </w:r>
      <w:r w:rsidRPr="00C365A6">
        <w:rPr>
          <w:noProof/>
          <w:szCs w:val="24"/>
        </w:rPr>
        <w:t>. Insan Cendekia Mandiri.</w:t>
      </w:r>
    </w:p>
    <w:p w:rsidR="00C365A6" w:rsidRPr="00C365A6" w:rsidRDefault="00C365A6" w:rsidP="009E158E">
      <w:pPr>
        <w:widowControl w:val="0"/>
        <w:autoSpaceDE w:val="0"/>
        <w:autoSpaceDN w:val="0"/>
        <w:adjustRightInd w:val="0"/>
        <w:spacing w:after="132" w:line="240" w:lineRule="auto"/>
        <w:ind w:left="480" w:hanging="480"/>
        <w:rPr>
          <w:noProof/>
        </w:rPr>
      </w:pPr>
      <w:r w:rsidRPr="00C365A6">
        <w:rPr>
          <w:noProof/>
          <w:szCs w:val="24"/>
        </w:rPr>
        <w:t xml:space="preserve">Zulhelmi, Adlim, &amp; Mahidin. (2017). Pengaruh media pembelajaran interaktif terhadap peningkatan keterampilan berpikir kritis siswa [The effect of interactive learning media on improving students’ critical thinking skills]. </w:t>
      </w:r>
      <w:r w:rsidRPr="00C365A6">
        <w:rPr>
          <w:i/>
          <w:iCs/>
          <w:noProof/>
          <w:szCs w:val="24"/>
        </w:rPr>
        <w:t>Jurnal Pendidikan Sains Indonesia (Indonesian Journal of Science Education)</w:t>
      </w:r>
      <w:r w:rsidRPr="00C365A6">
        <w:rPr>
          <w:noProof/>
          <w:szCs w:val="24"/>
        </w:rPr>
        <w:t xml:space="preserve">, </w:t>
      </w:r>
      <w:r w:rsidRPr="00C365A6">
        <w:rPr>
          <w:i/>
          <w:iCs/>
          <w:noProof/>
          <w:szCs w:val="24"/>
        </w:rPr>
        <w:t>5</w:t>
      </w:r>
      <w:r w:rsidRPr="00C365A6">
        <w:rPr>
          <w:noProof/>
          <w:szCs w:val="24"/>
        </w:rPr>
        <w:t>(1), 72–80.</w:t>
      </w:r>
    </w:p>
    <w:p w:rsidR="00B115C2" w:rsidRPr="00B115C2" w:rsidRDefault="00B115C2" w:rsidP="009E158E">
      <w:pPr>
        <w:spacing w:after="132"/>
      </w:pPr>
      <w:r>
        <w:fldChar w:fldCharType="end"/>
      </w:r>
      <w:bookmarkEnd w:id="0"/>
    </w:p>
    <w:p w:rsidR="006C61E4" w:rsidRDefault="00A219DD">
      <w:pPr>
        <w:spacing w:after="0" w:line="240" w:lineRule="auto"/>
        <w:ind w:left="161" w:firstLine="0"/>
        <w:jc w:val="left"/>
      </w:pPr>
      <w:r>
        <w:rPr>
          <w:b/>
          <w:sz w:val="24"/>
        </w:rPr>
        <w:t xml:space="preserve"> </w:t>
      </w:r>
    </w:p>
    <w:p w:rsidR="006C61E4" w:rsidRDefault="006C61E4">
      <w:pPr>
        <w:spacing w:after="0" w:line="240" w:lineRule="auto"/>
        <w:ind w:left="0" w:right="131" w:firstLine="0"/>
        <w:jc w:val="right"/>
      </w:pPr>
    </w:p>
    <w:sectPr w:rsidR="006C61E4" w:rsidSect="004F654C">
      <w:footerReference w:type="even" r:id="rId11"/>
      <w:footerReference w:type="default" r:id="rId12"/>
      <w:footerReference w:type="first" r:id="rId13"/>
      <w:pgSz w:w="11911" w:h="16841"/>
      <w:pgMar w:top="1342" w:right="1021" w:bottom="1258" w:left="1279" w:header="720" w:footer="1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E8" w:rsidRDefault="003267E8">
      <w:pPr>
        <w:spacing w:after="0" w:line="240" w:lineRule="auto"/>
      </w:pPr>
      <w:r>
        <w:separator/>
      </w:r>
    </w:p>
  </w:endnote>
  <w:endnote w:type="continuationSeparator" w:id="0">
    <w:p w:rsidR="003267E8" w:rsidRDefault="0032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32476"/>
      <w:docPartObj>
        <w:docPartGallery w:val="Page Numbers (Bottom of Page)"/>
        <w:docPartUnique/>
      </w:docPartObj>
    </w:sdtPr>
    <w:sdtEndPr>
      <w:rPr>
        <w:noProof/>
      </w:rPr>
    </w:sdtEndPr>
    <w:sdtContent>
      <w:p w:rsidR="008C0546" w:rsidRDefault="008C0546">
        <w:pPr>
          <w:pStyle w:val="Footer"/>
          <w:jc w:val="right"/>
        </w:pPr>
        <w:r>
          <w:fldChar w:fldCharType="begin"/>
        </w:r>
        <w:r>
          <w:instrText xml:space="preserve"> PAGE   \* MERGEFORMAT </w:instrText>
        </w:r>
        <w:r>
          <w:fldChar w:fldCharType="separate"/>
        </w:r>
        <w:r w:rsidR="00194831">
          <w:rPr>
            <w:noProof/>
          </w:rPr>
          <w:t>1</w:t>
        </w:r>
        <w:r>
          <w:rPr>
            <w:noProof/>
          </w:rPr>
          <w:fldChar w:fldCharType="end"/>
        </w:r>
      </w:p>
    </w:sdtContent>
  </w:sdt>
  <w:p w:rsidR="008C0546" w:rsidRDefault="008C0546">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843971"/>
      <w:docPartObj>
        <w:docPartGallery w:val="Page Numbers (Bottom of Page)"/>
        <w:docPartUnique/>
      </w:docPartObj>
    </w:sdtPr>
    <w:sdtEndPr>
      <w:rPr>
        <w:rFonts w:ascii="Times New Roman" w:hAnsi="Times New Roman" w:cs="Times New Roman"/>
        <w:noProof/>
      </w:rPr>
    </w:sdtEndPr>
    <w:sdtContent>
      <w:p w:rsidR="008C0546" w:rsidRPr="00FE4937" w:rsidRDefault="008C0546">
        <w:pPr>
          <w:pStyle w:val="Footer"/>
          <w:jc w:val="right"/>
          <w:rPr>
            <w:rFonts w:ascii="Times New Roman" w:hAnsi="Times New Roman" w:cs="Times New Roman"/>
          </w:rPr>
        </w:pPr>
        <w:r w:rsidRPr="00FE4937">
          <w:rPr>
            <w:rFonts w:ascii="Times New Roman" w:hAnsi="Times New Roman" w:cs="Times New Roman"/>
          </w:rPr>
          <w:fldChar w:fldCharType="begin"/>
        </w:r>
        <w:r w:rsidRPr="00FE4937">
          <w:rPr>
            <w:rFonts w:ascii="Times New Roman" w:hAnsi="Times New Roman" w:cs="Times New Roman"/>
          </w:rPr>
          <w:instrText xml:space="preserve"> PAGE   \* MERGEFORMAT </w:instrText>
        </w:r>
        <w:r w:rsidRPr="00FE4937">
          <w:rPr>
            <w:rFonts w:ascii="Times New Roman" w:hAnsi="Times New Roman" w:cs="Times New Roman"/>
          </w:rPr>
          <w:fldChar w:fldCharType="separate"/>
        </w:r>
        <w:r w:rsidR="00D22F88">
          <w:rPr>
            <w:rFonts w:ascii="Times New Roman" w:hAnsi="Times New Roman" w:cs="Times New Roman"/>
            <w:noProof/>
          </w:rPr>
          <w:t>2</w:t>
        </w:r>
        <w:r w:rsidRPr="00FE4937">
          <w:rPr>
            <w:rFonts w:ascii="Times New Roman" w:hAnsi="Times New Roman" w:cs="Times New Roman"/>
            <w:noProof/>
          </w:rPr>
          <w:fldChar w:fldCharType="end"/>
        </w:r>
      </w:p>
    </w:sdtContent>
  </w:sdt>
  <w:p w:rsidR="008C0546" w:rsidRDefault="008C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46" w:rsidRDefault="008C0546">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92360"/>
      <w:docPartObj>
        <w:docPartGallery w:val="Page Numbers (Bottom of Page)"/>
        <w:docPartUnique/>
      </w:docPartObj>
    </w:sdtPr>
    <w:sdtEndPr>
      <w:rPr>
        <w:noProof/>
      </w:rPr>
    </w:sdtEndPr>
    <w:sdtContent>
      <w:p w:rsidR="008C0546" w:rsidRDefault="008C0546">
        <w:pPr>
          <w:pStyle w:val="Footer"/>
          <w:jc w:val="right"/>
        </w:pPr>
        <w:r>
          <w:fldChar w:fldCharType="begin"/>
        </w:r>
        <w:r>
          <w:instrText xml:space="preserve"> PAGE   \* MERGEFORMAT </w:instrText>
        </w:r>
        <w:r>
          <w:fldChar w:fldCharType="separate"/>
        </w:r>
        <w:r w:rsidR="009E158E">
          <w:rPr>
            <w:noProof/>
          </w:rPr>
          <w:t>9</w:t>
        </w:r>
        <w:r>
          <w:rPr>
            <w:noProof/>
          </w:rPr>
          <w:fldChar w:fldCharType="end"/>
        </w:r>
      </w:p>
    </w:sdtContent>
  </w:sdt>
  <w:p w:rsidR="008C0546" w:rsidRDefault="008C0546">
    <w:pPr>
      <w:spacing w:after="0" w:line="240"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46" w:rsidRDefault="008C0546">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E8" w:rsidRDefault="003267E8">
      <w:pPr>
        <w:spacing w:after="0" w:line="240" w:lineRule="auto"/>
      </w:pPr>
      <w:r>
        <w:separator/>
      </w:r>
    </w:p>
  </w:footnote>
  <w:footnote w:type="continuationSeparator" w:id="0">
    <w:p w:rsidR="003267E8" w:rsidRDefault="00326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46" w:rsidRDefault="008C054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4CD"/>
    <w:multiLevelType w:val="hybridMultilevel"/>
    <w:tmpl w:val="9A3A4DEA"/>
    <w:lvl w:ilvl="0" w:tplc="C5AE394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153B1E4B"/>
    <w:multiLevelType w:val="hybridMultilevel"/>
    <w:tmpl w:val="46D6EB9C"/>
    <w:lvl w:ilvl="0" w:tplc="705623F0">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E304C99"/>
    <w:multiLevelType w:val="hybridMultilevel"/>
    <w:tmpl w:val="8480906A"/>
    <w:lvl w:ilvl="0" w:tplc="C5AE3946">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2492413B"/>
    <w:multiLevelType w:val="hybridMultilevel"/>
    <w:tmpl w:val="4AA630BA"/>
    <w:lvl w:ilvl="0" w:tplc="C5AE3946">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24BF77DB"/>
    <w:multiLevelType w:val="hybridMultilevel"/>
    <w:tmpl w:val="33D49D5A"/>
    <w:lvl w:ilvl="0" w:tplc="1206D492">
      <w:start w:val="1"/>
      <w:numFmt w:val="decimal"/>
      <w:lvlText w:val="%1."/>
      <w:lvlJc w:val="left"/>
      <w:pPr>
        <w:ind w:left="276" w:hanging="360"/>
      </w:pPr>
      <w:rPr>
        <w:rFonts w:ascii="Times New Roman" w:eastAsia="Times New Roman" w:hAnsi="Times New Roman" w:cs="Times New Roman"/>
      </w:rPr>
    </w:lvl>
    <w:lvl w:ilvl="1" w:tplc="04210019" w:tentative="1">
      <w:start w:val="1"/>
      <w:numFmt w:val="lowerLetter"/>
      <w:lvlText w:val="%2."/>
      <w:lvlJc w:val="left"/>
      <w:pPr>
        <w:ind w:left="996" w:hanging="360"/>
      </w:pPr>
    </w:lvl>
    <w:lvl w:ilvl="2" w:tplc="0421001B" w:tentative="1">
      <w:start w:val="1"/>
      <w:numFmt w:val="lowerRoman"/>
      <w:lvlText w:val="%3."/>
      <w:lvlJc w:val="right"/>
      <w:pPr>
        <w:ind w:left="1716" w:hanging="180"/>
      </w:pPr>
    </w:lvl>
    <w:lvl w:ilvl="3" w:tplc="0421000F" w:tentative="1">
      <w:start w:val="1"/>
      <w:numFmt w:val="decimal"/>
      <w:lvlText w:val="%4."/>
      <w:lvlJc w:val="left"/>
      <w:pPr>
        <w:ind w:left="2436" w:hanging="360"/>
      </w:pPr>
    </w:lvl>
    <w:lvl w:ilvl="4" w:tplc="04210019" w:tentative="1">
      <w:start w:val="1"/>
      <w:numFmt w:val="lowerLetter"/>
      <w:lvlText w:val="%5."/>
      <w:lvlJc w:val="left"/>
      <w:pPr>
        <w:ind w:left="3156" w:hanging="360"/>
      </w:pPr>
    </w:lvl>
    <w:lvl w:ilvl="5" w:tplc="0421001B" w:tentative="1">
      <w:start w:val="1"/>
      <w:numFmt w:val="lowerRoman"/>
      <w:lvlText w:val="%6."/>
      <w:lvlJc w:val="right"/>
      <w:pPr>
        <w:ind w:left="3876" w:hanging="180"/>
      </w:pPr>
    </w:lvl>
    <w:lvl w:ilvl="6" w:tplc="0421000F" w:tentative="1">
      <w:start w:val="1"/>
      <w:numFmt w:val="decimal"/>
      <w:lvlText w:val="%7."/>
      <w:lvlJc w:val="left"/>
      <w:pPr>
        <w:ind w:left="4596" w:hanging="360"/>
      </w:pPr>
    </w:lvl>
    <w:lvl w:ilvl="7" w:tplc="04210019" w:tentative="1">
      <w:start w:val="1"/>
      <w:numFmt w:val="lowerLetter"/>
      <w:lvlText w:val="%8."/>
      <w:lvlJc w:val="left"/>
      <w:pPr>
        <w:ind w:left="5316" w:hanging="360"/>
      </w:pPr>
    </w:lvl>
    <w:lvl w:ilvl="8" w:tplc="0421001B" w:tentative="1">
      <w:start w:val="1"/>
      <w:numFmt w:val="lowerRoman"/>
      <w:lvlText w:val="%9."/>
      <w:lvlJc w:val="right"/>
      <w:pPr>
        <w:ind w:left="6036" w:hanging="180"/>
      </w:pPr>
    </w:lvl>
  </w:abstractNum>
  <w:abstractNum w:abstractNumId="5">
    <w:nsid w:val="3BD80D7F"/>
    <w:multiLevelType w:val="hybridMultilevel"/>
    <w:tmpl w:val="F760AE08"/>
    <w:lvl w:ilvl="0" w:tplc="EE76BCFC">
      <w:start w:val="1"/>
      <w:numFmt w:val="decimal"/>
      <w:lvlText w:val="%1."/>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B7274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620D07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0E2C45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734389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93A177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C4833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478413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5454D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44803370"/>
    <w:multiLevelType w:val="hybridMultilevel"/>
    <w:tmpl w:val="7EE202F8"/>
    <w:lvl w:ilvl="0" w:tplc="488CB472">
      <w:start w:val="1"/>
      <w:numFmt w:val="decimal"/>
      <w:lvlText w:val="%1."/>
      <w:lvlJc w:val="left"/>
      <w:pPr>
        <w:ind w:left="644" w:hanging="360"/>
      </w:pPr>
      <w:rPr>
        <w:rFonts w:hint="default"/>
        <w:b/>
      </w:rPr>
    </w:lvl>
    <w:lvl w:ilvl="1" w:tplc="4EAC9102">
      <w:start w:val="1"/>
      <w:numFmt w:val="lowerLetter"/>
      <w:lvlText w:val="%2."/>
      <w:lvlJc w:val="left"/>
      <w:pPr>
        <w:ind w:left="540" w:hanging="360"/>
      </w:pPr>
      <w:rPr>
        <w:b w:val="0"/>
        <w:bCs/>
      </w:rPr>
    </w:lvl>
    <w:lvl w:ilvl="2" w:tplc="5520452E">
      <w:start w:val="1"/>
      <w:numFmt w:val="lowerLetter"/>
      <w:lvlText w:val="%3)"/>
      <w:lvlJc w:val="left"/>
      <w:pPr>
        <w:ind w:left="2264" w:hanging="360"/>
      </w:pPr>
      <w:rPr>
        <w:rFonts w:hint="default"/>
      </w:rPr>
    </w:lvl>
    <w:lvl w:ilvl="3" w:tplc="9744B764">
      <w:start w:val="1"/>
      <w:numFmt w:val="decimal"/>
      <w:lvlText w:val="(%4)"/>
      <w:lvlJc w:val="left"/>
      <w:pPr>
        <w:ind w:left="900" w:hanging="360"/>
      </w:pPr>
      <w:rPr>
        <w:rFonts w:hint="default"/>
      </w:rPr>
    </w:lvl>
    <w:lvl w:ilvl="4" w:tplc="CCF0D2FC">
      <w:start w:val="1"/>
      <w:numFmt w:val="decimal"/>
      <w:lvlText w:val="%5)"/>
      <w:lvlJc w:val="left"/>
      <w:pPr>
        <w:ind w:left="3524" w:hanging="360"/>
      </w:pPr>
      <w:rPr>
        <w:rFonts w:hint="default"/>
      </w:rPr>
    </w:lvl>
    <w:lvl w:ilvl="5" w:tplc="2946B8EA">
      <w:start w:val="1"/>
      <w:numFmt w:val="upperLetter"/>
      <w:lvlText w:val="%6."/>
      <w:lvlJc w:val="left"/>
      <w:pPr>
        <w:ind w:left="450" w:hanging="360"/>
      </w:pPr>
      <w:rPr>
        <w:rFonts w:hint="default"/>
        <w:b/>
      </w:rPr>
    </w:lvl>
    <w:lvl w:ilvl="6" w:tplc="2D2A1366">
      <w:start w:val="3"/>
      <w:numFmt w:val="decimal"/>
      <w:lvlText w:val="%7"/>
      <w:lvlJc w:val="left"/>
      <w:pPr>
        <w:ind w:left="4964" w:hanging="360"/>
      </w:pPr>
      <w:rPr>
        <w:rFonts w:hint="default"/>
      </w:rPr>
    </w:lvl>
    <w:lvl w:ilvl="7" w:tplc="9932A30A">
      <w:start w:val="2"/>
      <w:numFmt w:val="upperRoman"/>
      <w:lvlText w:val="%8."/>
      <w:lvlJc w:val="left"/>
      <w:pPr>
        <w:ind w:left="6044" w:hanging="720"/>
      </w:pPr>
      <w:rPr>
        <w:rFonts w:hint="default"/>
      </w:rPr>
    </w:lvl>
    <w:lvl w:ilvl="8" w:tplc="D2466A88">
      <w:start w:val="300"/>
      <w:numFmt w:val="lowerRoman"/>
      <w:lvlText w:val="%9)"/>
      <w:lvlJc w:val="left"/>
      <w:pPr>
        <w:ind w:left="6944" w:hanging="720"/>
      </w:pPr>
      <w:rPr>
        <w:rFonts w:hint="default"/>
      </w:rPr>
    </w:lvl>
  </w:abstractNum>
  <w:abstractNum w:abstractNumId="7">
    <w:nsid w:val="4F4E3843"/>
    <w:multiLevelType w:val="hybridMultilevel"/>
    <w:tmpl w:val="2960984A"/>
    <w:lvl w:ilvl="0" w:tplc="F30CD81E">
      <w:start w:val="1"/>
      <w:numFmt w:val="decimal"/>
      <w:lvlText w:val="%1."/>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656A75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CEAFE0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9484E6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10E0EF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1AE8FA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866277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F1C3E5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860BED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82A7E11"/>
    <w:multiLevelType w:val="hybridMultilevel"/>
    <w:tmpl w:val="20327856"/>
    <w:lvl w:ilvl="0" w:tplc="C5AE394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nsid w:val="66E8196C"/>
    <w:multiLevelType w:val="hybridMultilevel"/>
    <w:tmpl w:val="0D50150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6D4B22B6"/>
    <w:multiLevelType w:val="hybridMultilevel"/>
    <w:tmpl w:val="ADB8EE00"/>
    <w:lvl w:ilvl="0" w:tplc="C5AE394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nsid w:val="70F953A0"/>
    <w:multiLevelType w:val="multilevel"/>
    <w:tmpl w:val="F1062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5728B7"/>
    <w:multiLevelType w:val="hybridMultilevel"/>
    <w:tmpl w:val="77E86A8C"/>
    <w:lvl w:ilvl="0" w:tplc="C9DCB562">
      <w:start w:val="2"/>
      <w:numFmt w:val="upperLetter"/>
      <w:lvlText w:val="%1."/>
      <w:lvlJc w:val="left"/>
      <w:pPr>
        <w:ind w:left="1620" w:hanging="360"/>
      </w:pPr>
      <w:rPr>
        <w:rFonts w:hint="default"/>
        <w:i w:val="0"/>
        <w:iCs w:val="0"/>
      </w:rPr>
    </w:lvl>
    <w:lvl w:ilvl="1" w:tplc="92AEBDAA">
      <w:start w:val="1"/>
      <w:numFmt w:val="lowerLetter"/>
      <w:lvlText w:val="%2."/>
      <w:lvlJc w:val="left"/>
      <w:pPr>
        <w:ind w:left="360" w:hanging="360"/>
      </w:pPr>
      <w:rPr>
        <w:rFonts w:ascii="Times New Roman" w:eastAsia="Calibri" w:hAnsi="Times New Roman" w:cs="Times New Roman"/>
      </w:rPr>
    </w:lvl>
    <w:lvl w:ilvl="2" w:tplc="0421001B">
      <w:start w:val="1"/>
      <w:numFmt w:val="lowerRoman"/>
      <w:lvlText w:val="%3."/>
      <w:lvlJc w:val="right"/>
      <w:pPr>
        <w:ind w:left="3060" w:hanging="180"/>
      </w:pPr>
    </w:lvl>
    <w:lvl w:ilvl="3" w:tplc="04090015">
      <w:start w:val="1"/>
      <w:numFmt w:val="upperLetter"/>
      <w:lvlText w:val="%4."/>
      <w:lvlJc w:val="left"/>
      <w:pPr>
        <w:ind w:left="3780" w:hanging="360"/>
      </w:pPr>
    </w:lvl>
    <w:lvl w:ilvl="4" w:tplc="19368284">
      <w:start w:val="1"/>
      <w:numFmt w:val="lowerLetter"/>
      <w:lvlText w:val="%5."/>
      <w:lvlJc w:val="left"/>
      <w:pPr>
        <w:ind w:left="360" w:hanging="360"/>
      </w:pPr>
      <w:rPr>
        <w:b w:val="0"/>
        <w:i w:val="0"/>
        <w:iCs/>
      </w:rPr>
    </w:lvl>
    <w:lvl w:ilvl="5" w:tplc="0421001B">
      <w:start w:val="1"/>
      <w:numFmt w:val="lowerRoman"/>
      <w:lvlText w:val="%6."/>
      <w:lvlJc w:val="right"/>
      <w:pPr>
        <w:ind w:left="5220" w:hanging="180"/>
      </w:pPr>
    </w:lvl>
    <w:lvl w:ilvl="6" w:tplc="F8B84E04">
      <w:start w:val="1"/>
      <w:numFmt w:val="decimal"/>
      <w:lvlText w:val="%7."/>
      <w:lvlJc w:val="left"/>
      <w:pPr>
        <w:ind w:left="5940" w:hanging="360"/>
      </w:pPr>
      <w:rPr>
        <w:b/>
        <w:bCs w:val="0"/>
      </w:r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num w:numId="1">
    <w:abstractNumId w:val="5"/>
  </w:num>
  <w:num w:numId="2">
    <w:abstractNumId w:val="7"/>
  </w:num>
  <w:num w:numId="3">
    <w:abstractNumId w:val="4"/>
  </w:num>
  <w:num w:numId="4">
    <w:abstractNumId w:val="12"/>
  </w:num>
  <w:num w:numId="5">
    <w:abstractNumId w:val="1"/>
  </w:num>
  <w:num w:numId="6">
    <w:abstractNumId w:val="6"/>
  </w:num>
  <w:num w:numId="7">
    <w:abstractNumId w:val="11"/>
  </w:num>
  <w:num w:numId="8">
    <w:abstractNumId w:val="9"/>
  </w:num>
  <w:num w:numId="9">
    <w:abstractNumId w:val="0"/>
  </w:num>
  <w:num w:numId="10">
    <w:abstractNumId w:val="2"/>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E4"/>
    <w:rsid w:val="00166A4C"/>
    <w:rsid w:val="00194831"/>
    <w:rsid w:val="001D1ED1"/>
    <w:rsid w:val="001E338B"/>
    <w:rsid w:val="002354EF"/>
    <w:rsid w:val="00240C06"/>
    <w:rsid w:val="00266B1B"/>
    <w:rsid w:val="002803EF"/>
    <w:rsid w:val="002B1AF0"/>
    <w:rsid w:val="002C074D"/>
    <w:rsid w:val="002E2656"/>
    <w:rsid w:val="003267E8"/>
    <w:rsid w:val="00387A25"/>
    <w:rsid w:val="003A2B4A"/>
    <w:rsid w:val="003B4FD5"/>
    <w:rsid w:val="003D6DC5"/>
    <w:rsid w:val="00430355"/>
    <w:rsid w:val="00445B38"/>
    <w:rsid w:val="004A4435"/>
    <w:rsid w:val="004B6874"/>
    <w:rsid w:val="004C4A3F"/>
    <w:rsid w:val="004F654C"/>
    <w:rsid w:val="005D3F54"/>
    <w:rsid w:val="00650A5C"/>
    <w:rsid w:val="006819AF"/>
    <w:rsid w:val="006C61E4"/>
    <w:rsid w:val="007022D3"/>
    <w:rsid w:val="00705C9E"/>
    <w:rsid w:val="00730A0D"/>
    <w:rsid w:val="007D3854"/>
    <w:rsid w:val="007F2F81"/>
    <w:rsid w:val="008044C4"/>
    <w:rsid w:val="0080701C"/>
    <w:rsid w:val="00820D87"/>
    <w:rsid w:val="008249DC"/>
    <w:rsid w:val="00856E9E"/>
    <w:rsid w:val="008C0546"/>
    <w:rsid w:val="008C07B3"/>
    <w:rsid w:val="008D1B41"/>
    <w:rsid w:val="008E420C"/>
    <w:rsid w:val="0091554A"/>
    <w:rsid w:val="009202DA"/>
    <w:rsid w:val="009C70D7"/>
    <w:rsid w:val="009E158E"/>
    <w:rsid w:val="00A03127"/>
    <w:rsid w:val="00A1618A"/>
    <w:rsid w:val="00A219DD"/>
    <w:rsid w:val="00A235BB"/>
    <w:rsid w:val="00A81F19"/>
    <w:rsid w:val="00AD3878"/>
    <w:rsid w:val="00AE19F4"/>
    <w:rsid w:val="00B115C2"/>
    <w:rsid w:val="00B41593"/>
    <w:rsid w:val="00BD2EE3"/>
    <w:rsid w:val="00C22685"/>
    <w:rsid w:val="00C365A6"/>
    <w:rsid w:val="00C452A5"/>
    <w:rsid w:val="00C60435"/>
    <w:rsid w:val="00D04B16"/>
    <w:rsid w:val="00D22F88"/>
    <w:rsid w:val="00D30982"/>
    <w:rsid w:val="00D51057"/>
    <w:rsid w:val="00D52BF2"/>
    <w:rsid w:val="00E5239B"/>
    <w:rsid w:val="00F00D3C"/>
    <w:rsid w:val="00F769B8"/>
    <w:rsid w:val="00FD0D95"/>
    <w:rsid w:val="00FE34C3"/>
    <w:rsid w:val="00FE49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30F0E-CEC6-42BA-88E4-B5E36660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350" w:lineRule="auto"/>
      <w:ind w:lef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32" w:line="240" w:lineRule="auto"/>
      <w:ind w:lef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8" w:line="240" w:lineRule="auto"/>
      <w:ind w:left="-5"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F769B8"/>
    <w:pPr>
      <w:spacing w:after="120"/>
    </w:pPr>
  </w:style>
  <w:style w:type="character" w:customStyle="1" w:styleId="BodyTextChar">
    <w:name w:val="Body Text Char"/>
    <w:basedOn w:val="DefaultParagraphFont"/>
    <w:link w:val="BodyText"/>
    <w:uiPriority w:val="99"/>
    <w:semiHidden/>
    <w:rsid w:val="00F769B8"/>
    <w:rPr>
      <w:rFonts w:ascii="Times New Roman" w:eastAsia="Times New Roman" w:hAnsi="Times New Roman" w:cs="Times New Roman"/>
      <w:color w:val="000000"/>
    </w:rPr>
  </w:style>
  <w:style w:type="paragraph" w:styleId="ListParagraph">
    <w:name w:val="List Paragraph"/>
    <w:aliases w:val="Body of text,List Paragraph1,Body of text+1,Body of text+2,Body of text+3,List Paragraph11,UGEX'Z,normal,Colorful List - Accent 11,HEADING 1,Medium Grid 1 - Accent 21,Body of textCxSp,Sub sub,rpp3"/>
    <w:basedOn w:val="Normal"/>
    <w:link w:val="ListParagraphChar"/>
    <w:uiPriority w:val="34"/>
    <w:qFormat/>
    <w:rsid w:val="00166A4C"/>
    <w:pPr>
      <w:ind w:left="720"/>
      <w:contextualSpacing/>
    </w:pPr>
  </w:style>
  <w:style w:type="character" w:customStyle="1" w:styleId="ListParagraphChar">
    <w:name w:val="List Paragraph Char"/>
    <w:aliases w:val="Body of text Char,List Paragraph1 Char,Body of text+1 Char,Body of text+2 Char,Body of text+3 Char,List Paragraph11 Char,UGEX'Z Char,normal Char,Colorful List - Accent 11 Char,HEADING 1 Char,Medium Grid 1 - Accent 21 Char,rpp3 Char"/>
    <w:basedOn w:val="DefaultParagraphFont"/>
    <w:link w:val="ListParagraph"/>
    <w:uiPriority w:val="34"/>
    <w:qFormat/>
    <w:locked/>
    <w:rsid w:val="00C60435"/>
    <w:rPr>
      <w:rFonts w:ascii="Times New Roman" w:eastAsia="Times New Roman" w:hAnsi="Times New Roman" w:cs="Times New Roman"/>
      <w:color w:val="000000"/>
    </w:rPr>
  </w:style>
  <w:style w:type="table" w:styleId="TableGrid0">
    <w:name w:val="Table Grid"/>
    <w:basedOn w:val="TableNormal"/>
    <w:uiPriority w:val="59"/>
    <w:qFormat/>
    <w:rsid w:val="00C604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0435"/>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C60435"/>
    <w:rPr>
      <w:rFonts w:eastAsiaTheme="minorHAnsi"/>
      <w:lang w:eastAsia="en-US"/>
    </w:rPr>
  </w:style>
  <w:style w:type="paragraph" w:styleId="Footer">
    <w:name w:val="footer"/>
    <w:basedOn w:val="Normal"/>
    <w:link w:val="FooterChar"/>
    <w:uiPriority w:val="99"/>
    <w:unhideWhenUsed/>
    <w:rsid w:val="00C60435"/>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C60435"/>
    <w:rPr>
      <w:rFonts w:eastAsiaTheme="minorHAnsi"/>
      <w:lang w:eastAsia="en-US"/>
    </w:rPr>
  </w:style>
  <w:style w:type="character" w:styleId="Hyperlink">
    <w:name w:val="Hyperlink"/>
    <w:basedOn w:val="DefaultParagraphFont"/>
    <w:uiPriority w:val="99"/>
    <w:unhideWhenUsed/>
    <w:rsid w:val="002B1AF0"/>
    <w:rPr>
      <w:color w:val="0563C1" w:themeColor="hyperlink"/>
      <w:u w:val="single"/>
    </w:rPr>
  </w:style>
  <w:style w:type="paragraph" w:styleId="NormalWeb">
    <w:name w:val="Normal (Web)"/>
    <w:basedOn w:val="Normal"/>
    <w:uiPriority w:val="99"/>
    <w:semiHidden/>
    <w:unhideWhenUsed/>
    <w:rsid w:val="007022D3"/>
    <w:pPr>
      <w:spacing w:before="100" w:beforeAutospacing="1" w:after="100" w:afterAutospacing="1" w:line="240" w:lineRule="auto"/>
      <w:ind w:left="0" w:firstLine="0"/>
      <w:jc w:val="left"/>
    </w:pPr>
    <w:rPr>
      <w:color w:val="auto"/>
      <w:sz w:val="24"/>
      <w:szCs w:val="24"/>
      <w:lang w:val="en-US" w:eastAsia="en-US"/>
    </w:rPr>
  </w:style>
  <w:style w:type="character" w:styleId="Emphasis">
    <w:name w:val="Emphasis"/>
    <w:basedOn w:val="DefaultParagraphFont"/>
    <w:uiPriority w:val="20"/>
    <w:qFormat/>
    <w:rsid w:val="00702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3422">
      <w:bodyDiv w:val="1"/>
      <w:marLeft w:val="0"/>
      <w:marRight w:val="0"/>
      <w:marTop w:val="0"/>
      <w:marBottom w:val="0"/>
      <w:divBdr>
        <w:top w:val="none" w:sz="0" w:space="0" w:color="auto"/>
        <w:left w:val="none" w:sz="0" w:space="0" w:color="auto"/>
        <w:bottom w:val="none" w:sz="0" w:space="0" w:color="auto"/>
        <w:right w:val="none" w:sz="0" w:space="0" w:color="auto"/>
      </w:divBdr>
    </w:div>
    <w:div w:id="366805662">
      <w:bodyDiv w:val="1"/>
      <w:marLeft w:val="0"/>
      <w:marRight w:val="0"/>
      <w:marTop w:val="0"/>
      <w:marBottom w:val="0"/>
      <w:divBdr>
        <w:top w:val="none" w:sz="0" w:space="0" w:color="auto"/>
        <w:left w:val="none" w:sz="0" w:space="0" w:color="auto"/>
        <w:bottom w:val="none" w:sz="0" w:space="0" w:color="auto"/>
        <w:right w:val="none" w:sz="0" w:space="0" w:color="auto"/>
      </w:divBdr>
    </w:div>
    <w:div w:id="589699048">
      <w:bodyDiv w:val="1"/>
      <w:marLeft w:val="0"/>
      <w:marRight w:val="0"/>
      <w:marTop w:val="0"/>
      <w:marBottom w:val="0"/>
      <w:divBdr>
        <w:top w:val="none" w:sz="0" w:space="0" w:color="auto"/>
        <w:left w:val="none" w:sz="0" w:space="0" w:color="auto"/>
        <w:bottom w:val="none" w:sz="0" w:space="0" w:color="auto"/>
        <w:right w:val="none" w:sz="0" w:space="0" w:color="auto"/>
      </w:divBdr>
    </w:div>
    <w:div w:id="780803658">
      <w:bodyDiv w:val="1"/>
      <w:marLeft w:val="0"/>
      <w:marRight w:val="0"/>
      <w:marTop w:val="0"/>
      <w:marBottom w:val="0"/>
      <w:divBdr>
        <w:top w:val="none" w:sz="0" w:space="0" w:color="auto"/>
        <w:left w:val="none" w:sz="0" w:space="0" w:color="auto"/>
        <w:bottom w:val="none" w:sz="0" w:space="0" w:color="auto"/>
        <w:right w:val="none" w:sz="0" w:space="0" w:color="auto"/>
      </w:divBdr>
    </w:div>
    <w:div w:id="830292372">
      <w:bodyDiv w:val="1"/>
      <w:marLeft w:val="0"/>
      <w:marRight w:val="0"/>
      <w:marTop w:val="0"/>
      <w:marBottom w:val="0"/>
      <w:divBdr>
        <w:top w:val="none" w:sz="0" w:space="0" w:color="auto"/>
        <w:left w:val="none" w:sz="0" w:space="0" w:color="auto"/>
        <w:bottom w:val="none" w:sz="0" w:space="0" w:color="auto"/>
        <w:right w:val="none" w:sz="0" w:space="0" w:color="auto"/>
      </w:divBdr>
    </w:div>
    <w:div w:id="1105468541">
      <w:bodyDiv w:val="1"/>
      <w:marLeft w:val="0"/>
      <w:marRight w:val="0"/>
      <w:marTop w:val="0"/>
      <w:marBottom w:val="0"/>
      <w:divBdr>
        <w:top w:val="none" w:sz="0" w:space="0" w:color="auto"/>
        <w:left w:val="none" w:sz="0" w:space="0" w:color="auto"/>
        <w:bottom w:val="none" w:sz="0" w:space="0" w:color="auto"/>
        <w:right w:val="none" w:sz="0" w:space="0" w:color="auto"/>
      </w:divBdr>
    </w:div>
    <w:div w:id="1326862208">
      <w:bodyDiv w:val="1"/>
      <w:marLeft w:val="0"/>
      <w:marRight w:val="0"/>
      <w:marTop w:val="0"/>
      <w:marBottom w:val="0"/>
      <w:divBdr>
        <w:top w:val="none" w:sz="0" w:space="0" w:color="auto"/>
        <w:left w:val="none" w:sz="0" w:space="0" w:color="auto"/>
        <w:bottom w:val="none" w:sz="0" w:space="0" w:color="auto"/>
        <w:right w:val="none" w:sz="0" w:space="0" w:color="auto"/>
      </w:divBdr>
    </w:div>
    <w:div w:id="205234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B648-6C9B-417C-982E-DE14D48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Pages>
  <Words>12908</Words>
  <Characters>73576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Microsoft account</cp:lastModifiedBy>
  <cp:revision>15</cp:revision>
  <dcterms:created xsi:type="dcterms:W3CDTF">2023-05-14T06:11:00Z</dcterms:created>
  <dcterms:modified xsi:type="dcterms:W3CDTF">2023-05-14T13:18:00Z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http://csl.mendeley.com/styles/524582191/chicago-fullnote-bibliography-16th-edition</vt:lpwstr>
  </property>
  <property fmtid="{D5CDD505-2E9C-101B-9397-08002B2CF9AE}" pid="13" name="Mendeley Recent Style Name 5_1">
    <vt:lpwstr>Turabian 7th</vt:lpwstr>
  </property>
  <property fmtid="{D5CDD505-2E9C-101B-9397-08002B2CF9AE}" pid="14" name="Mendeley Recent Style Id 6_1">
    <vt:lpwstr>http://www.zotero.org/styles/turabian-fullnote-bibliography</vt:lpwstr>
  </property>
  <property fmtid="{D5CDD505-2E9C-101B-9397-08002B2CF9AE}" pid="15" name="Mendeley Recent Style Name 6_1">
    <vt:lpwstr>Turabian 8th edition (full note)</vt:lpwstr>
  </property>
  <property fmtid="{D5CDD505-2E9C-101B-9397-08002B2CF9AE}" pid="16" name="Mendeley Recent Style Id 7_1">
    <vt:lpwstr>http://www.zotero.org/styles/turabian-author-date</vt:lpwstr>
  </property>
  <property fmtid="{D5CDD505-2E9C-101B-9397-08002B2CF9AE}" pid="17" name="Mendeley Recent Style Name 7_1">
    <vt:lpwstr>Turabian 9th edition (author-date)</vt:lpwstr>
  </property>
  <property fmtid="{D5CDD505-2E9C-101B-9397-08002B2CF9AE}" pid="18" name="Mendeley Recent Style Id 8_1">
    <vt:lpwstr>http://www.zotero.org/styles/universitas-negeri-yogyakarta-program-pascasarjana</vt:lpwstr>
  </property>
  <property fmtid="{D5CDD505-2E9C-101B-9397-08002B2CF9AE}" pid="19" name="Mendeley Recent Style Name 8_1">
    <vt:lpwstr>Universitas Negeri Yogyakarta - Program Pascasarjana (Bahasa Indonesia)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a4c78758-cc09-37a8-91b0-f90c6b76fc48</vt:lpwstr>
  </property>
  <property fmtid="{D5CDD505-2E9C-101B-9397-08002B2CF9AE}" pid="24" name="Mendeley Citation Style_1">
    <vt:lpwstr>http://www.zotero.org/styles/apa</vt:lpwstr>
  </property>
</Properties>
</file>