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Hardiana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KPR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Bank Tabungan Negara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Makassar. </w:t>
      </w:r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Tikollah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.,M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Mukhammad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SE.,M</w:t>
      </w:r>
      <w:proofErr w:type="gramEnd"/>
      <w:r>
        <w:rPr>
          <w:rFonts w:ascii="Times New Roman" w:hAnsi="Times New Roman" w:cs="Times New Roman"/>
          <w:sz w:val="24"/>
          <w:szCs w:val="24"/>
        </w:rPr>
        <w:t>.Si.,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.,CA</w:t>
      </w:r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BTN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BTN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Komparatif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akadnya</w:t>
      </w:r>
      <w:proofErr w:type="spellEnd"/>
      <w:r>
        <w:rPr>
          <w:rFonts w:ascii="Times New Roman" w:hAnsi="Times New Roman" w:cs="Times New Roman"/>
          <w:sz w:val="24"/>
          <w:szCs w:val="24"/>
        </w:rPr>
        <w:t>. Bank BTN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Utang-Piutang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BTN Kantor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Jual-Beli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murabahah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mensyaratkan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>,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>. Bank BTN</w:t>
      </w:r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berfluktuasi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BTN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angsuran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KPR,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BTN</w:t>
      </w:r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BTN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diKPR-kan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proses BI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checking,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sz w:val="24"/>
          <w:szCs w:val="24"/>
        </w:rPr>
        <w:t>, Bank BTN Kantor</w:t>
      </w:r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(margin)</w:t>
      </w:r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BDB" w:rsidRDefault="00597BDB" w:rsidP="005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8DE" w:rsidRDefault="00597BDB" w:rsidP="00597BDB">
      <w:pPr>
        <w:jc w:val="both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KPR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KPR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E3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DB"/>
    <w:rsid w:val="00597BDB"/>
    <w:rsid w:val="00E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5A54"/>
  <w15:chartTrackingRefBased/>
  <w15:docId w15:val="{51D16481-8C21-4E4D-9955-F073FDBC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2017-07-04T03:27:00Z</dcterms:created>
  <dcterms:modified xsi:type="dcterms:W3CDTF">2017-07-04T03:29:00Z</dcterms:modified>
</cp:coreProperties>
</file>