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D" w:rsidRPr="00B64537" w:rsidRDefault="005319ED" w:rsidP="005319ED">
      <w:pPr>
        <w:tabs>
          <w:tab w:val="left" w:pos="5387"/>
        </w:tabs>
        <w:spacing w:line="360" w:lineRule="auto"/>
        <w:jc w:val="both"/>
        <w:rPr>
          <w:b/>
        </w:rPr>
      </w:pPr>
      <w:r w:rsidRPr="00B64537">
        <w:rPr>
          <w:b/>
        </w:rPr>
        <w:t>Lampiran 4</w:t>
      </w:r>
    </w:p>
    <w:p w:rsidR="005319ED" w:rsidRDefault="005319ED" w:rsidP="005319ED">
      <w:pPr>
        <w:tabs>
          <w:tab w:val="left" w:pos="5387"/>
        </w:tabs>
        <w:spacing w:line="360" w:lineRule="auto"/>
        <w:jc w:val="both"/>
      </w:pPr>
      <w:r>
        <w:t xml:space="preserve">Format Penilaian Tes Kemampuan Membaca Permulaan Melalui Media Abjad Magnetik </w:t>
      </w:r>
    </w:p>
    <w:p w:rsidR="005319ED" w:rsidRDefault="005319ED" w:rsidP="005319ED">
      <w:pPr>
        <w:tabs>
          <w:tab w:val="left" w:pos="1080"/>
        </w:tabs>
        <w:ind w:left="1080" w:hanging="1080"/>
        <w:jc w:val="both"/>
        <w:rPr>
          <w:b/>
        </w:rPr>
      </w:pPr>
      <w:r w:rsidRPr="00513BA2">
        <w:rPr>
          <w:b/>
          <w:lang w:val="id-ID"/>
        </w:rPr>
        <w:t>JUDUL :</w:t>
      </w:r>
      <w:r w:rsidRPr="00513BA2">
        <w:rPr>
          <w:b/>
        </w:rPr>
        <w:tab/>
        <w:t>PENINGKATAN KEMAMPUAN MEMBACA PERMULAAN MELALUI MEDIA ABJAD MAGNETIK PADA MURID DISLEKSIA KELAS DASAR III DI SD INPRES PANNAMPU 1 MAKASSAR</w:t>
      </w:r>
    </w:p>
    <w:p w:rsidR="005319ED" w:rsidRPr="00513BA2" w:rsidRDefault="005319ED" w:rsidP="005319ED">
      <w:pPr>
        <w:tabs>
          <w:tab w:val="left" w:pos="1080"/>
        </w:tabs>
        <w:ind w:left="1080" w:hanging="1080"/>
        <w:jc w:val="both"/>
        <w:rPr>
          <w:b/>
        </w:rPr>
      </w:pPr>
    </w:p>
    <w:p w:rsidR="005319ED" w:rsidRDefault="005319ED" w:rsidP="005319ED">
      <w:pPr>
        <w:tabs>
          <w:tab w:val="left" w:pos="5387"/>
        </w:tabs>
        <w:spacing w:line="480" w:lineRule="auto"/>
        <w:jc w:val="both"/>
      </w:pPr>
      <w:r>
        <w:t>Mohon Bapak/Ibu dosen atas kesediaan waktunya dalam memberikan bantuan:</w:t>
      </w:r>
    </w:p>
    <w:p w:rsidR="005319ED" w:rsidRDefault="005319ED" w:rsidP="005319ED">
      <w:pPr>
        <w:tabs>
          <w:tab w:val="left" w:pos="5387"/>
        </w:tabs>
        <w:spacing w:line="360" w:lineRule="auto"/>
        <w:jc w:val="both"/>
      </w:pPr>
      <w:r>
        <w:t>Untuk memberi penilaian objektif instrumen kami, dengan cara menceklis sesuai atau tidak sesuai pada kolom/lajur yang dinilai.</w:t>
      </w:r>
    </w:p>
    <w:p w:rsidR="005319ED" w:rsidRDefault="005319ED" w:rsidP="005319ED">
      <w:pPr>
        <w:tabs>
          <w:tab w:val="left" w:pos="5387"/>
        </w:tabs>
        <w:spacing w:line="360" w:lineRule="auto"/>
        <w:jc w:val="both"/>
      </w:pPr>
    </w:p>
    <w:p w:rsidR="005319ED" w:rsidRDefault="005319ED" w:rsidP="005319ED">
      <w:pPr>
        <w:tabs>
          <w:tab w:val="left" w:pos="5387"/>
        </w:tabs>
        <w:spacing w:line="360" w:lineRule="auto"/>
        <w:jc w:val="both"/>
      </w:pPr>
      <w:r>
        <w:t>Atas bantuan Bapak/Ibu dalam memberikan penilaian, saya menyampaikan banyak terima kasih.</w:t>
      </w:r>
    </w:p>
    <w:p w:rsidR="005319ED" w:rsidRDefault="005319ED" w:rsidP="005319ED">
      <w:pPr>
        <w:pStyle w:val="ListParagraph"/>
        <w:numPr>
          <w:ilvl w:val="8"/>
          <w:numId w:val="11"/>
        </w:numPr>
        <w:tabs>
          <w:tab w:val="left" w:pos="360"/>
          <w:tab w:val="left" w:pos="5387"/>
        </w:tabs>
        <w:spacing w:line="360" w:lineRule="auto"/>
        <w:ind w:hanging="6300"/>
        <w:jc w:val="both"/>
      </w:pPr>
      <w:r>
        <w:t>Petunjuk</w:t>
      </w:r>
    </w:p>
    <w:p w:rsidR="005319ED" w:rsidRDefault="005319ED" w:rsidP="005319ED">
      <w:pPr>
        <w:tabs>
          <w:tab w:val="left" w:pos="360"/>
          <w:tab w:val="left" w:pos="5387"/>
        </w:tabs>
        <w:spacing w:line="360" w:lineRule="auto"/>
        <w:jc w:val="both"/>
      </w:pPr>
      <w:r>
        <w:tab/>
        <w:t>Dimohon memberikan penilaian dengan memberi tanda cek (</w:t>
      </w:r>
      <w:r w:rsidRPr="00CC2646">
        <w:t>√</w:t>
      </w:r>
      <w:r>
        <w:t>) pada kolom sesuai dengan aspek yang dinilai.</w:t>
      </w:r>
    </w:p>
    <w:p w:rsidR="005319ED" w:rsidRDefault="005319ED" w:rsidP="005319ED">
      <w:pPr>
        <w:pStyle w:val="ListParagraph"/>
        <w:numPr>
          <w:ilvl w:val="8"/>
          <w:numId w:val="11"/>
        </w:numPr>
        <w:tabs>
          <w:tab w:val="left" w:pos="360"/>
          <w:tab w:val="left" w:pos="5387"/>
        </w:tabs>
        <w:spacing w:line="360" w:lineRule="auto"/>
        <w:ind w:hanging="6300"/>
        <w:jc w:val="both"/>
      </w:pPr>
      <w:r>
        <w:t xml:space="preserve">Format Penilaian </w:t>
      </w:r>
    </w:p>
    <w:p w:rsidR="005319ED" w:rsidRPr="00E65680" w:rsidRDefault="005319ED" w:rsidP="005319ED">
      <w:pPr>
        <w:rPr>
          <w:b/>
        </w:rPr>
      </w:pPr>
    </w:p>
    <w:tbl>
      <w:tblPr>
        <w:tblStyle w:val="MediumShading2-Accent11"/>
        <w:tblpPr w:leftFromText="180" w:rightFromText="180" w:vertAnchor="text" w:tblpY="1"/>
        <w:tblOverlap w:val="never"/>
        <w:tblW w:w="7426" w:type="dxa"/>
        <w:tblInd w:w="288" w:type="dxa"/>
        <w:shd w:val="clear" w:color="auto" w:fill="FFFFFF" w:themeFill="background1"/>
        <w:tblLook w:val="04A0"/>
      </w:tblPr>
      <w:tblGrid>
        <w:gridCol w:w="630"/>
        <w:gridCol w:w="4356"/>
        <w:gridCol w:w="1224"/>
        <w:gridCol w:w="1216"/>
      </w:tblGrid>
      <w:tr w:rsidR="005319ED" w:rsidRPr="00A62398" w:rsidTr="007E574C">
        <w:trPr>
          <w:cnfStyle w:val="100000000000"/>
          <w:trHeight w:val="366"/>
        </w:trPr>
        <w:tc>
          <w:tcPr>
            <w:cnfStyle w:val="001000000100"/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Kriteria</w:t>
            </w:r>
          </w:p>
        </w:tc>
      </w:tr>
      <w:tr w:rsidR="005319ED" w:rsidRPr="00A62398" w:rsidTr="007E574C">
        <w:trPr>
          <w:cnfStyle w:val="000000100000"/>
          <w:trHeight w:val="285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ind w:left="-136" w:right="-176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ind w:left="-143" w:right="-8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Sesuai</w:t>
            </w:r>
          </w:p>
        </w:tc>
      </w:tr>
      <w:tr w:rsidR="005319ED" w:rsidRPr="00A62398" w:rsidTr="007E574C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(b)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(d)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(p)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(q)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(m)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(w)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(n)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(u)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</w:tbl>
    <w:p w:rsidR="005319ED" w:rsidRPr="00664B16" w:rsidRDefault="005319ED" w:rsidP="005319ED">
      <w:pPr>
        <w:pStyle w:val="ListParagraph"/>
        <w:spacing w:line="360" w:lineRule="auto"/>
        <w:ind w:left="0"/>
        <w:contextualSpacing w:val="0"/>
        <w:jc w:val="both"/>
        <w:rPr>
          <w:lang w:val="sv-SE"/>
        </w:rPr>
      </w:pPr>
      <w:r>
        <w:rPr>
          <w:lang w:val="sv-SE"/>
        </w:rPr>
        <w:br w:type="textWrapping" w:clear="all"/>
      </w:r>
    </w:p>
    <w:tbl>
      <w:tblPr>
        <w:tblStyle w:val="MediumShading2-Accent11"/>
        <w:tblW w:w="7380" w:type="dxa"/>
        <w:tblInd w:w="288" w:type="dxa"/>
        <w:shd w:val="clear" w:color="auto" w:fill="FFFFFF" w:themeFill="background1"/>
        <w:tblLook w:val="04A0"/>
      </w:tblPr>
      <w:tblGrid>
        <w:gridCol w:w="629"/>
        <w:gridCol w:w="4411"/>
        <w:gridCol w:w="1170"/>
        <w:gridCol w:w="1170"/>
      </w:tblGrid>
      <w:tr w:rsidR="005319ED" w:rsidRPr="00A62398" w:rsidTr="007E574C">
        <w:trPr>
          <w:cnfStyle w:val="100000000000"/>
          <w:trHeight w:val="330"/>
        </w:trPr>
        <w:tc>
          <w:tcPr>
            <w:cnfStyle w:val="001000000100"/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Kriteria</w:t>
            </w:r>
          </w:p>
        </w:tc>
      </w:tr>
      <w:tr w:rsidR="005319ED" w:rsidRPr="00A62398" w:rsidTr="007E574C">
        <w:trPr>
          <w:cnfStyle w:val="000000100000"/>
          <w:trHeight w:val="486"/>
        </w:trPr>
        <w:tc>
          <w:tcPr>
            <w:cnfStyle w:val="001000000000"/>
            <w:tcW w:w="62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Sesuai</w:t>
            </w: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suku kata (bu)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(ku)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(da)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(si)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(pen)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(sil)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 w:rsidRPr="004654ED">
              <w:rPr>
                <w:b w:val="0"/>
                <w:color w:val="auto"/>
              </w:rPr>
              <w:t>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(qur)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 w:rsidRPr="004654ED">
              <w:rPr>
                <w:b w:val="0"/>
                <w:color w:val="auto"/>
              </w:rPr>
              <w:t>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suku kata (me)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Pr="004654E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(ja)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  <w:r w:rsidRPr="004654E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suku kata (wa)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Pr="004654E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(ngi)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(nya)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</w:rPr>
            </w:pPr>
            <w:r>
              <w:rPr>
                <w:b w:val="0"/>
                <w:color w:val="auto"/>
              </w:rPr>
              <w:t>14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(nyi)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(un)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4654ED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(tuk)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</w:tr>
    </w:tbl>
    <w:p w:rsidR="005319ED" w:rsidRPr="00664B16" w:rsidRDefault="005319ED" w:rsidP="005319ED">
      <w:pPr>
        <w:spacing w:line="360" w:lineRule="auto"/>
        <w:rPr>
          <w:color w:val="000000" w:themeColor="text1"/>
          <w:lang w:val="sv-SE"/>
        </w:rPr>
      </w:pPr>
    </w:p>
    <w:tbl>
      <w:tblPr>
        <w:tblStyle w:val="MediumShading2-Accent11"/>
        <w:tblW w:w="7380" w:type="dxa"/>
        <w:tblInd w:w="28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629"/>
        <w:gridCol w:w="4272"/>
        <w:gridCol w:w="1309"/>
        <w:gridCol w:w="1170"/>
      </w:tblGrid>
      <w:tr w:rsidR="005319ED" w:rsidRPr="00A62398" w:rsidTr="007E574C">
        <w:trPr>
          <w:cnfStyle w:val="100000000000"/>
          <w:trHeight w:val="330"/>
        </w:trPr>
        <w:tc>
          <w:tcPr>
            <w:cnfStyle w:val="001000000100"/>
            <w:tcW w:w="629" w:type="dxa"/>
            <w:vMerge w:val="restart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Kriteria</w:t>
            </w:r>
          </w:p>
        </w:tc>
      </w:tr>
      <w:tr w:rsidR="005319ED" w:rsidRPr="00A62398" w:rsidTr="007E574C">
        <w:trPr>
          <w:cnfStyle w:val="000000100000"/>
          <w:trHeight w:val="486"/>
        </w:trPr>
        <w:tc>
          <w:tcPr>
            <w:cnfStyle w:val="001000000000"/>
            <w:tcW w:w="62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ED" w:rsidRPr="00A62398" w:rsidRDefault="005319ED" w:rsidP="007E574C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Sesuai</w:t>
            </w: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kata (buku)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 membaca kata (dasi)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kata (pensil)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 membaca kata (quran)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kata (meja)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kata (wangi)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3B6EE4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kata (nyanyi)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5319ED" w:rsidRPr="00A62398" w:rsidTr="007E574C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0429F3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5319E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 membaca kata (untuk)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9ED" w:rsidRPr="00A62398" w:rsidRDefault="005319ED" w:rsidP="007E574C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</w:tbl>
    <w:p w:rsidR="005319ED" w:rsidRDefault="005319ED" w:rsidP="005319ED">
      <w:pPr>
        <w:tabs>
          <w:tab w:val="left" w:pos="5387"/>
        </w:tabs>
        <w:spacing w:line="480" w:lineRule="auto"/>
        <w:jc w:val="both"/>
      </w:pPr>
    </w:p>
    <w:p w:rsidR="005319ED" w:rsidRDefault="005319ED" w:rsidP="005319ED">
      <w:pPr>
        <w:tabs>
          <w:tab w:val="left" w:pos="5387"/>
        </w:tabs>
        <w:spacing w:line="480" w:lineRule="auto"/>
        <w:jc w:val="both"/>
      </w:pPr>
      <w:r>
        <w:t xml:space="preserve">Saran: </w:t>
      </w:r>
    </w:p>
    <w:p w:rsidR="005319ED" w:rsidRDefault="005319ED" w:rsidP="005319ED">
      <w:pPr>
        <w:tabs>
          <w:tab w:val="left" w:pos="5387"/>
        </w:tabs>
        <w:spacing w:line="480" w:lineRule="auto"/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ED" w:rsidRDefault="005319ED" w:rsidP="005319ED">
      <w:pPr>
        <w:tabs>
          <w:tab w:val="left" w:pos="5387"/>
        </w:tabs>
        <w:spacing w:line="480" w:lineRule="auto"/>
        <w:ind w:left="720"/>
        <w:jc w:val="both"/>
      </w:pPr>
    </w:p>
    <w:p w:rsidR="005319ED" w:rsidRDefault="005319ED" w:rsidP="00531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Makassar,      Desember  2014</w:t>
      </w:r>
    </w:p>
    <w:p w:rsidR="005319ED" w:rsidRDefault="005319ED" w:rsidP="00531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Penilai Ahli</w:t>
      </w:r>
    </w:p>
    <w:p w:rsidR="005319ED" w:rsidRDefault="005319ED" w:rsidP="005319ED"/>
    <w:p w:rsidR="005319ED" w:rsidRDefault="005319ED" w:rsidP="00531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9ED" w:rsidRDefault="005319ED" w:rsidP="005319ED"/>
    <w:p w:rsidR="005319ED" w:rsidRDefault="005319ED" w:rsidP="005319ED"/>
    <w:p w:rsidR="005319ED" w:rsidRDefault="003D1040" w:rsidP="005319ED">
      <w:r w:rsidRPr="003D1040">
        <w:rPr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6pt;margin-top:3.65pt;width:125.25pt;height:0;z-index:251660288" o:connectortype="straight"/>
        </w:pict>
      </w:r>
      <w:r w:rsidR="005319ED">
        <w:tab/>
      </w:r>
      <w:r w:rsidR="005319ED">
        <w:tab/>
      </w:r>
      <w:r w:rsidR="005319ED">
        <w:tab/>
      </w:r>
      <w:r w:rsidR="005319ED">
        <w:tab/>
      </w:r>
      <w:r w:rsidR="005319ED">
        <w:tab/>
      </w:r>
      <w:r w:rsidR="005319ED">
        <w:tab/>
      </w:r>
      <w:r w:rsidR="005319ED">
        <w:tab/>
      </w:r>
    </w:p>
    <w:p w:rsidR="005319ED" w:rsidRDefault="005319ED" w:rsidP="00531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5319ED" w:rsidRDefault="005319ED" w:rsidP="005319ED"/>
    <w:p w:rsidR="005319ED" w:rsidRDefault="005319ED" w:rsidP="005319ED"/>
    <w:p w:rsidR="005319ED" w:rsidRDefault="005319ED" w:rsidP="005319ED"/>
    <w:p w:rsidR="005319ED" w:rsidRDefault="005319ED" w:rsidP="005319ED"/>
    <w:p w:rsidR="005319ED" w:rsidRDefault="005319ED" w:rsidP="005319ED"/>
    <w:p w:rsidR="005319ED" w:rsidRDefault="005319ED" w:rsidP="005319ED"/>
    <w:p w:rsidR="005319ED" w:rsidRDefault="005319ED" w:rsidP="005319ED"/>
    <w:p w:rsidR="005319ED" w:rsidRDefault="005319ED" w:rsidP="005319ED"/>
    <w:p w:rsidR="00403B34" w:rsidRDefault="00403B34" w:rsidP="005319ED"/>
    <w:p w:rsidR="00403B34" w:rsidRDefault="00403B34" w:rsidP="005319ED"/>
    <w:p w:rsidR="00403B34" w:rsidRDefault="00403B34" w:rsidP="005319ED"/>
    <w:p w:rsidR="00403B34" w:rsidRDefault="00403B34" w:rsidP="005319ED"/>
    <w:p w:rsidR="00403B34" w:rsidRDefault="00403B34" w:rsidP="00403B34">
      <w:pPr>
        <w:tabs>
          <w:tab w:val="left" w:pos="5387"/>
        </w:tabs>
        <w:spacing w:line="360" w:lineRule="auto"/>
        <w:jc w:val="both"/>
      </w:pPr>
      <w:r>
        <w:lastRenderedPageBreak/>
        <w:t xml:space="preserve">Format Penilaian Tes Kemampuan Membaca Permulaan Melalui Media Abjad Magnetik </w:t>
      </w:r>
    </w:p>
    <w:p w:rsidR="00403B34" w:rsidRDefault="00403B34" w:rsidP="00403B34">
      <w:pPr>
        <w:tabs>
          <w:tab w:val="left" w:pos="1080"/>
        </w:tabs>
        <w:ind w:left="1080" w:hanging="1080"/>
        <w:jc w:val="both"/>
        <w:rPr>
          <w:b/>
        </w:rPr>
      </w:pPr>
      <w:r w:rsidRPr="00513BA2">
        <w:rPr>
          <w:b/>
          <w:lang w:val="id-ID"/>
        </w:rPr>
        <w:t>JUDUL :</w:t>
      </w:r>
      <w:r w:rsidRPr="00513BA2">
        <w:rPr>
          <w:b/>
        </w:rPr>
        <w:tab/>
        <w:t>PENINGKATAN KEMAMPUAN MEMBACA PERMULAAN MELALUI MEDIA ABJAD MAGNETIK PADA MURID DISLEKSIA KELAS DASAR III DI SD INPRES PANNAMPU 1 MAKASSAR</w:t>
      </w:r>
    </w:p>
    <w:p w:rsidR="00403B34" w:rsidRPr="00513BA2" w:rsidRDefault="00403B34" w:rsidP="00403B34">
      <w:pPr>
        <w:tabs>
          <w:tab w:val="left" w:pos="1080"/>
        </w:tabs>
        <w:ind w:left="1080" w:hanging="1080"/>
        <w:jc w:val="both"/>
        <w:rPr>
          <w:b/>
        </w:rPr>
      </w:pPr>
    </w:p>
    <w:p w:rsidR="00403B34" w:rsidRDefault="00403B34" w:rsidP="00403B34">
      <w:pPr>
        <w:tabs>
          <w:tab w:val="left" w:pos="5387"/>
        </w:tabs>
        <w:spacing w:line="480" w:lineRule="auto"/>
        <w:jc w:val="both"/>
      </w:pPr>
      <w:r>
        <w:t>Mohon Bapak/Ibu dosen atas kesediaan waktunya dalam memberikan bantuan:</w:t>
      </w:r>
    </w:p>
    <w:p w:rsidR="00403B34" w:rsidRDefault="00403B34" w:rsidP="00403B34">
      <w:pPr>
        <w:tabs>
          <w:tab w:val="left" w:pos="5387"/>
        </w:tabs>
        <w:spacing w:line="360" w:lineRule="auto"/>
        <w:jc w:val="both"/>
      </w:pPr>
      <w:r>
        <w:t>Untuk memberi penilaian objektif instrumen kami, dengan cara menceklis sesuai atau tidak sesuai pada kolom/lajur yang dinilai.</w:t>
      </w:r>
    </w:p>
    <w:p w:rsidR="00403B34" w:rsidRDefault="00403B34" w:rsidP="00403B34">
      <w:pPr>
        <w:tabs>
          <w:tab w:val="left" w:pos="5387"/>
        </w:tabs>
        <w:spacing w:line="360" w:lineRule="auto"/>
        <w:jc w:val="both"/>
      </w:pPr>
    </w:p>
    <w:p w:rsidR="00403B34" w:rsidRDefault="00403B34" w:rsidP="00403B34">
      <w:pPr>
        <w:tabs>
          <w:tab w:val="left" w:pos="5387"/>
        </w:tabs>
        <w:spacing w:line="360" w:lineRule="auto"/>
        <w:jc w:val="both"/>
      </w:pPr>
      <w:r>
        <w:t>Atas bantuan Bapak/Ibu dalam memberikan penilaian, saya menyampaikan banyak terima kasih.</w:t>
      </w:r>
    </w:p>
    <w:p w:rsidR="00403B34" w:rsidRDefault="00403B34" w:rsidP="00403B34">
      <w:pPr>
        <w:pStyle w:val="ListParagraph"/>
        <w:numPr>
          <w:ilvl w:val="8"/>
          <w:numId w:val="11"/>
        </w:numPr>
        <w:tabs>
          <w:tab w:val="left" w:pos="360"/>
          <w:tab w:val="left" w:pos="5387"/>
        </w:tabs>
        <w:spacing w:line="360" w:lineRule="auto"/>
        <w:ind w:hanging="6300"/>
        <w:jc w:val="both"/>
      </w:pPr>
      <w:r>
        <w:t>Petunjuk</w:t>
      </w:r>
    </w:p>
    <w:p w:rsidR="00403B34" w:rsidRDefault="00403B34" w:rsidP="00403B34">
      <w:pPr>
        <w:tabs>
          <w:tab w:val="left" w:pos="360"/>
          <w:tab w:val="left" w:pos="5387"/>
        </w:tabs>
        <w:spacing w:line="360" w:lineRule="auto"/>
        <w:jc w:val="both"/>
      </w:pPr>
      <w:r>
        <w:tab/>
        <w:t>Dimohon memberikan penilaian dengan memberi tanda cek (</w:t>
      </w:r>
      <w:r w:rsidRPr="00CC2646">
        <w:t>√</w:t>
      </w:r>
      <w:r>
        <w:t>) pada kolom sesuai dengan aspek yang dinilai.</w:t>
      </w:r>
    </w:p>
    <w:p w:rsidR="00403B34" w:rsidRDefault="00403B34" w:rsidP="00403B34">
      <w:pPr>
        <w:pStyle w:val="ListParagraph"/>
        <w:numPr>
          <w:ilvl w:val="8"/>
          <w:numId w:val="11"/>
        </w:numPr>
        <w:tabs>
          <w:tab w:val="left" w:pos="360"/>
          <w:tab w:val="left" w:pos="5387"/>
        </w:tabs>
        <w:spacing w:line="360" w:lineRule="auto"/>
        <w:ind w:hanging="6300"/>
        <w:jc w:val="both"/>
      </w:pPr>
      <w:r>
        <w:t xml:space="preserve">Format Penilaian </w:t>
      </w:r>
    </w:p>
    <w:p w:rsidR="00403B34" w:rsidRPr="00E65680" w:rsidRDefault="00403B34" w:rsidP="00403B34">
      <w:pPr>
        <w:rPr>
          <w:b/>
        </w:rPr>
      </w:pPr>
    </w:p>
    <w:tbl>
      <w:tblPr>
        <w:tblStyle w:val="MediumShading2-Accent11"/>
        <w:tblpPr w:leftFromText="180" w:rightFromText="180" w:vertAnchor="text" w:tblpY="1"/>
        <w:tblOverlap w:val="never"/>
        <w:tblW w:w="7426" w:type="dxa"/>
        <w:tblInd w:w="288" w:type="dxa"/>
        <w:shd w:val="clear" w:color="auto" w:fill="FFFFFF" w:themeFill="background1"/>
        <w:tblLook w:val="04A0"/>
      </w:tblPr>
      <w:tblGrid>
        <w:gridCol w:w="630"/>
        <w:gridCol w:w="4356"/>
        <w:gridCol w:w="1224"/>
        <w:gridCol w:w="1216"/>
      </w:tblGrid>
      <w:tr w:rsidR="00403B34" w:rsidRPr="00A62398" w:rsidTr="00563108">
        <w:trPr>
          <w:cnfStyle w:val="100000000000"/>
          <w:trHeight w:val="366"/>
        </w:trPr>
        <w:tc>
          <w:tcPr>
            <w:cnfStyle w:val="001000000100"/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Kriteria</w:t>
            </w:r>
          </w:p>
        </w:tc>
      </w:tr>
      <w:tr w:rsidR="00403B34" w:rsidRPr="00A62398" w:rsidTr="00563108">
        <w:trPr>
          <w:cnfStyle w:val="000000100000"/>
          <w:trHeight w:val="285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ind w:left="-136" w:right="-176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ind w:left="-143" w:right="-8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Sesuai</w:t>
            </w:r>
          </w:p>
        </w:tc>
      </w:tr>
      <w:tr w:rsidR="00403B34" w:rsidRPr="00A62398" w:rsidTr="00563108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(b)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(d)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(p)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(q)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(m)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(w)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(n)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</w:trPr>
        <w:tc>
          <w:tcPr>
            <w:cnfStyle w:val="001000000000"/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</w:t>
            </w:r>
            <w:r w:rsidRPr="003B6EE4">
              <w:t xml:space="preserve"> membaca huruf (u)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before="60"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</w:tbl>
    <w:p w:rsidR="00403B34" w:rsidRPr="00664B16" w:rsidRDefault="00403B34" w:rsidP="00403B34">
      <w:pPr>
        <w:pStyle w:val="ListParagraph"/>
        <w:spacing w:line="360" w:lineRule="auto"/>
        <w:ind w:left="0"/>
        <w:contextualSpacing w:val="0"/>
        <w:jc w:val="both"/>
        <w:rPr>
          <w:lang w:val="sv-SE"/>
        </w:rPr>
      </w:pPr>
      <w:r>
        <w:rPr>
          <w:lang w:val="sv-SE"/>
        </w:rPr>
        <w:br w:type="textWrapping" w:clear="all"/>
      </w:r>
    </w:p>
    <w:tbl>
      <w:tblPr>
        <w:tblStyle w:val="MediumShading2-Accent11"/>
        <w:tblW w:w="7380" w:type="dxa"/>
        <w:tblInd w:w="288" w:type="dxa"/>
        <w:shd w:val="clear" w:color="auto" w:fill="FFFFFF" w:themeFill="background1"/>
        <w:tblLook w:val="04A0"/>
      </w:tblPr>
      <w:tblGrid>
        <w:gridCol w:w="629"/>
        <w:gridCol w:w="4411"/>
        <w:gridCol w:w="1170"/>
        <w:gridCol w:w="1170"/>
      </w:tblGrid>
      <w:tr w:rsidR="00403B34" w:rsidRPr="00A62398" w:rsidTr="00563108">
        <w:trPr>
          <w:cnfStyle w:val="100000000000"/>
          <w:trHeight w:val="330"/>
        </w:trPr>
        <w:tc>
          <w:tcPr>
            <w:cnfStyle w:val="001000000100"/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Kriteria</w:t>
            </w:r>
          </w:p>
        </w:tc>
      </w:tr>
      <w:tr w:rsidR="00403B34" w:rsidRPr="00A62398" w:rsidTr="00563108">
        <w:trPr>
          <w:cnfStyle w:val="000000100000"/>
          <w:trHeight w:val="486"/>
        </w:trPr>
        <w:tc>
          <w:tcPr>
            <w:cnfStyle w:val="001000000000"/>
            <w:tcW w:w="62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Sesuai</w:t>
            </w: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suku kata (bu)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(ku)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(da)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(si)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(pen)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(sil)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 w:rsidRPr="004654ED">
              <w:rPr>
                <w:b w:val="0"/>
                <w:color w:val="auto"/>
              </w:rPr>
              <w:t>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(qur)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 w:rsidRPr="004654ED">
              <w:rPr>
                <w:b w:val="0"/>
                <w:color w:val="auto"/>
              </w:rPr>
              <w:t>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suku kata (me)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Pr="004654E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(ja)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  <w:r w:rsidRPr="004654E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suku kata (wa)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54ED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Pr="004654E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suku kata (ngi)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(nya)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</w:rPr>
            </w:pPr>
            <w:r>
              <w:rPr>
                <w:b w:val="0"/>
                <w:color w:val="auto"/>
              </w:rPr>
              <w:t>14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(nyi)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(un)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4654ED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</w:t>
            </w:r>
            <w:r w:rsidRPr="004654ED">
              <w:rPr>
                <w:b w:val="0"/>
                <w:color w:val="auto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  <w:color w:val="000000" w:themeColor="text1"/>
              </w:rPr>
            </w:pPr>
            <w:r w:rsidRPr="003B6EE4">
              <w:rPr>
                <w:bCs/>
                <w:color w:val="000000" w:themeColor="text1"/>
              </w:rPr>
              <w:t>Kemampuan membaca suku kata (tuk)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</w:pPr>
          </w:p>
        </w:tc>
      </w:tr>
    </w:tbl>
    <w:p w:rsidR="00403B34" w:rsidRPr="00664B16" w:rsidRDefault="00403B34" w:rsidP="00403B34">
      <w:pPr>
        <w:spacing w:line="360" w:lineRule="auto"/>
        <w:rPr>
          <w:color w:val="000000" w:themeColor="text1"/>
          <w:lang w:val="sv-SE"/>
        </w:rPr>
      </w:pPr>
    </w:p>
    <w:tbl>
      <w:tblPr>
        <w:tblStyle w:val="MediumShading2-Accent11"/>
        <w:tblW w:w="7380" w:type="dxa"/>
        <w:tblInd w:w="28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629"/>
        <w:gridCol w:w="4272"/>
        <w:gridCol w:w="1309"/>
        <w:gridCol w:w="1170"/>
      </w:tblGrid>
      <w:tr w:rsidR="00403B34" w:rsidRPr="00A62398" w:rsidTr="00563108">
        <w:trPr>
          <w:cnfStyle w:val="100000000000"/>
          <w:trHeight w:val="330"/>
        </w:trPr>
        <w:tc>
          <w:tcPr>
            <w:cnfStyle w:val="001000000100"/>
            <w:tcW w:w="629" w:type="dxa"/>
            <w:vMerge w:val="restart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A62398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Kriteria</w:t>
            </w:r>
          </w:p>
        </w:tc>
      </w:tr>
      <w:tr w:rsidR="00403B34" w:rsidRPr="00A62398" w:rsidTr="00563108">
        <w:trPr>
          <w:cnfStyle w:val="000000100000"/>
          <w:trHeight w:val="486"/>
        </w:trPr>
        <w:tc>
          <w:tcPr>
            <w:cnfStyle w:val="001000000000"/>
            <w:tcW w:w="62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3B34" w:rsidRPr="00A62398" w:rsidRDefault="00403B34" w:rsidP="00563108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Sesuai</w:t>
            </w: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kata (buku)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 membaca kata (dasi)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kata (pensil)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 membaca kata (quran)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</w:pPr>
            <w:r w:rsidRPr="003B6EE4">
              <w:rPr>
                <w:bCs/>
                <w:color w:val="000000" w:themeColor="text1"/>
              </w:rPr>
              <w:t>Kemampuan membaca kata (meja)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kata (wangi)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3B6EE4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000000"/>
              <w:rPr>
                <w:bCs/>
              </w:rPr>
            </w:pPr>
            <w:r w:rsidRPr="003B6EE4">
              <w:rPr>
                <w:bCs/>
                <w:color w:val="000000" w:themeColor="text1"/>
              </w:rPr>
              <w:t>Kemampuan membaca kata (nyanyi)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</w:p>
        </w:tc>
      </w:tr>
      <w:tr w:rsidR="00403B34" w:rsidRPr="00A62398" w:rsidTr="00563108">
        <w:trPr>
          <w:cnfStyle w:val="000000100000"/>
          <w:trHeight w:val="375"/>
        </w:trPr>
        <w:tc>
          <w:tcPr>
            <w:cnfStyle w:val="001000000000"/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0429F3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29F3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cnfStyle w:val="000000100000"/>
            </w:pPr>
            <w:r w:rsidRPr="003B6EE4">
              <w:rPr>
                <w:bCs/>
                <w:color w:val="000000" w:themeColor="text1"/>
              </w:rPr>
              <w:t>Kemampuan membaca kata (untuk)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B34" w:rsidRPr="00A62398" w:rsidRDefault="00403B34" w:rsidP="00563108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</w:p>
        </w:tc>
      </w:tr>
    </w:tbl>
    <w:p w:rsidR="00403B34" w:rsidRDefault="00403B34" w:rsidP="00403B34">
      <w:pPr>
        <w:tabs>
          <w:tab w:val="left" w:pos="5387"/>
        </w:tabs>
        <w:spacing w:line="480" w:lineRule="auto"/>
        <w:jc w:val="both"/>
      </w:pPr>
    </w:p>
    <w:p w:rsidR="00403B34" w:rsidRDefault="00403B34" w:rsidP="00403B34">
      <w:pPr>
        <w:tabs>
          <w:tab w:val="left" w:pos="5387"/>
        </w:tabs>
        <w:spacing w:line="480" w:lineRule="auto"/>
        <w:jc w:val="both"/>
      </w:pPr>
      <w:r>
        <w:t xml:space="preserve">Saran: </w:t>
      </w:r>
    </w:p>
    <w:p w:rsidR="00403B34" w:rsidRDefault="00403B34" w:rsidP="00403B34">
      <w:pPr>
        <w:tabs>
          <w:tab w:val="left" w:pos="5387"/>
        </w:tabs>
        <w:spacing w:line="480" w:lineRule="auto"/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B34" w:rsidRDefault="00403B34" w:rsidP="00403B34">
      <w:pPr>
        <w:tabs>
          <w:tab w:val="left" w:pos="5387"/>
        </w:tabs>
        <w:spacing w:line="480" w:lineRule="auto"/>
        <w:ind w:left="720"/>
        <w:jc w:val="both"/>
      </w:pPr>
    </w:p>
    <w:p w:rsidR="00403B34" w:rsidRDefault="00403B34" w:rsidP="00403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Makassar,      Desember  2014</w:t>
      </w:r>
    </w:p>
    <w:p w:rsidR="00403B34" w:rsidRDefault="00403B34" w:rsidP="00403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Penilai Ahli</w:t>
      </w:r>
    </w:p>
    <w:p w:rsidR="00403B34" w:rsidRDefault="00403B34" w:rsidP="00403B34"/>
    <w:p w:rsidR="00403B34" w:rsidRDefault="00403B34" w:rsidP="00403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B34" w:rsidRDefault="00403B34" w:rsidP="00403B34"/>
    <w:p w:rsidR="00403B34" w:rsidRDefault="00403B34" w:rsidP="00403B34"/>
    <w:p w:rsidR="00403B34" w:rsidRDefault="00403B34" w:rsidP="00403B34">
      <w:r w:rsidRPr="003D1040">
        <w:rPr>
          <w:lang w:val="en-GB" w:eastAsia="en-GB"/>
        </w:rPr>
        <w:pict>
          <v:shape id="_x0000_s1030" type="#_x0000_t32" style="position:absolute;margin-left:252.6pt;margin-top:3.65pt;width:125.25pt;height:0;z-index:25166540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B34" w:rsidRDefault="00403B34" w:rsidP="00403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403B34" w:rsidRDefault="00403B34" w:rsidP="00403B34"/>
    <w:p w:rsidR="00403B34" w:rsidRDefault="00403B34" w:rsidP="00403B34"/>
    <w:p w:rsidR="00403B34" w:rsidRDefault="00403B34" w:rsidP="00403B34"/>
    <w:p w:rsidR="00403B34" w:rsidRDefault="00403B34" w:rsidP="005319ED"/>
    <w:p w:rsidR="005319ED" w:rsidRDefault="005319ED" w:rsidP="005319ED"/>
    <w:p w:rsidR="005319ED" w:rsidRDefault="005319ED" w:rsidP="005319ED"/>
    <w:p w:rsidR="005319ED" w:rsidRDefault="005319ED" w:rsidP="005319ED"/>
    <w:p w:rsidR="00403B34" w:rsidRDefault="00403B34" w:rsidP="005319ED"/>
    <w:p w:rsidR="00403B34" w:rsidRDefault="00403B34" w:rsidP="005319ED"/>
    <w:p w:rsidR="00403B34" w:rsidRDefault="00403B34" w:rsidP="005319ED"/>
    <w:p w:rsidR="00403B34" w:rsidRDefault="00403B34" w:rsidP="005319ED"/>
    <w:p w:rsidR="00403B34" w:rsidRDefault="00403B34" w:rsidP="005319ED"/>
    <w:p w:rsidR="00403B34" w:rsidRDefault="00403B34" w:rsidP="005319ED"/>
    <w:p w:rsidR="00403B34" w:rsidRDefault="00403B34" w:rsidP="005319ED"/>
    <w:p w:rsidR="005319ED" w:rsidRDefault="005319ED" w:rsidP="005319ED"/>
    <w:p w:rsidR="005319ED" w:rsidRPr="0091629E" w:rsidRDefault="005319ED" w:rsidP="005319ED">
      <w:pPr>
        <w:spacing w:line="480" w:lineRule="auto"/>
        <w:contextualSpacing/>
        <w:jc w:val="center"/>
        <w:rPr>
          <w:b/>
        </w:rPr>
      </w:pPr>
      <w:r w:rsidRPr="0091629E">
        <w:rPr>
          <w:b/>
        </w:rPr>
        <w:lastRenderedPageBreak/>
        <w:t>VALIDITAS INSTRUMEN</w:t>
      </w:r>
    </w:p>
    <w:p w:rsidR="005319ED" w:rsidRPr="0091629E" w:rsidRDefault="005319ED" w:rsidP="005319ED">
      <w:pPr>
        <w:spacing w:line="480" w:lineRule="auto"/>
        <w:contextualSpacing/>
        <w:jc w:val="center"/>
        <w:rPr>
          <w:b/>
        </w:rPr>
      </w:pPr>
    </w:p>
    <w:p w:rsidR="005319ED" w:rsidRPr="0091629E" w:rsidRDefault="005319ED" w:rsidP="005319E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</w:rPr>
      </w:pPr>
      <w:r w:rsidRPr="0091629E">
        <w:rPr>
          <w:rFonts w:eastAsiaTheme="minorEastAsia"/>
          <w:b/>
        </w:rPr>
        <w:t>Uji  Validitas</w:t>
      </w:r>
    </w:p>
    <w:p w:rsidR="005319ED" w:rsidRPr="0091629E" w:rsidRDefault="005319ED" w:rsidP="005319ED">
      <w:pPr>
        <w:spacing w:line="480" w:lineRule="auto"/>
        <w:ind w:firstLine="567"/>
        <w:jc w:val="both"/>
      </w:pPr>
      <w:r>
        <w:t>Hasil validasi dari tiga (2</w:t>
      </w:r>
      <w:r w:rsidRPr="0091629E">
        <w:t>) orang validator yaitu Drs.</w:t>
      </w:r>
      <w:r>
        <w:t>Usman</w:t>
      </w:r>
      <w:r w:rsidRPr="0091629E">
        <w:t xml:space="preserve">, M.Si (Dosen PLB), </w:t>
      </w:r>
      <w:r>
        <w:t xml:space="preserve">dan </w:t>
      </w:r>
      <w:r w:rsidRPr="0091629E">
        <w:t xml:space="preserve">Dra. Tatiana Meidina, M. Si (Dosen PLB). Dengan ini telah mengisi lembar validasi instrumen, diperoleh hasil bahwa intrumen yang akan digunakan pada penelitian telah valid atau  layak digunakan dalam meneliti </w:t>
      </w:r>
      <w:r>
        <w:t xml:space="preserve">peningkatan </w:t>
      </w:r>
      <w:r w:rsidRPr="0091629E">
        <w:t xml:space="preserve">kemampuan </w:t>
      </w:r>
      <w:r>
        <w:t>membaca permulaan</w:t>
      </w:r>
      <w:r w:rsidRPr="0091629E">
        <w:t xml:space="preserve"> </w:t>
      </w:r>
      <w:r>
        <w:t xml:space="preserve">murid disleksia kelas dasar III di SD Inpres Pannampu I </w:t>
      </w:r>
      <w:r w:rsidRPr="0091629E">
        <w:t>Makassar.</w:t>
      </w:r>
    </w:p>
    <w:p w:rsidR="005319ED" w:rsidRDefault="005319ED" w:rsidP="005319ED">
      <w:pPr>
        <w:spacing w:line="480" w:lineRule="auto"/>
        <w:ind w:firstLine="567"/>
        <w:jc w:val="both"/>
      </w:pPr>
    </w:p>
    <w:p w:rsidR="005319ED" w:rsidRDefault="005319ED" w:rsidP="005319ED">
      <w:pPr>
        <w:spacing w:line="480" w:lineRule="auto"/>
        <w:ind w:firstLine="567"/>
        <w:jc w:val="both"/>
      </w:pPr>
    </w:p>
    <w:p w:rsidR="005319ED" w:rsidRDefault="005319ED" w:rsidP="005319ED">
      <w:pPr>
        <w:spacing w:line="480" w:lineRule="auto"/>
        <w:ind w:firstLine="567"/>
        <w:jc w:val="both"/>
      </w:pPr>
    </w:p>
    <w:p w:rsidR="005319ED" w:rsidRDefault="005319ED" w:rsidP="005319ED">
      <w:pPr>
        <w:spacing w:line="480" w:lineRule="auto"/>
        <w:ind w:firstLine="567"/>
        <w:jc w:val="both"/>
      </w:pPr>
    </w:p>
    <w:p w:rsidR="005319ED" w:rsidRPr="0035631D" w:rsidRDefault="005319ED" w:rsidP="005319ED">
      <w:pPr>
        <w:spacing w:line="480" w:lineRule="auto"/>
        <w:ind w:firstLine="567"/>
        <w:jc w:val="both"/>
      </w:pPr>
    </w:p>
    <w:p w:rsidR="005319ED" w:rsidRPr="0091629E" w:rsidRDefault="005319ED" w:rsidP="005319ED">
      <w:pPr>
        <w:spacing w:line="480" w:lineRule="auto"/>
        <w:jc w:val="both"/>
        <w:rPr>
          <w:b/>
          <w:lang w:val="sv-SE"/>
        </w:rPr>
      </w:pPr>
    </w:p>
    <w:p w:rsidR="005319ED" w:rsidRPr="0091629E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Pr="0091629E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</w:p>
    <w:p w:rsidR="005319ED" w:rsidRPr="0091629E" w:rsidRDefault="005319ED" w:rsidP="005319ED">
      <w:pPr>
        <w:tabs>
          <w:tab w:val="center" w:pos="4680"/>
          <w:tab w:val="left" w:pos="6480"/>
        </w:tabs>
        <w:jc w:val="center"/>
        <w:rPr>
          <w:b/>
        </w:rPr>
      </w:pPr>
      <w:r w:rsidRPr="0091629E">
        <w:rPr>
          <w:b/>
        </w:rPr>
        <w:lastRenderedPageBreak/>
        <w:t>Hasil Uji Lapangan</w:t>
      </w:r>
    </w:p>
    <w:p w:rsidR="005319ED" w:rsidRPr="0091629E" w:rsidRDefault="005319ED" w:rsidP="005319ED">
      <w:pPr>
        <w:tabs>
          <w:tab w:val="left" w:pos="4095"/>
        </w:tabs>
        <w:ind w:left="284"/>
        <w:jc w:val="both"/>
        <w:rPr>
          <w:b/>
        </w:rPr>
      </w:pPr>
      <w:r w:rsidRPr="0091629E">
        <w:rPr>
          <w:b/>
        </w:rPr>
        <w:t xml:space="preserve">Validasi  </w:t>
      </w:r>
      <w:r>
        <w:rPr>
          <w:b/>
          <w:bCs/>
          <w:lang w:val="sv-SE"/>
        </w:rPr>
        <w:t>Peningkatan Kemampuan Membaca Permulaan Melalui Media Abjad Magnetik Pada Murid Disleksia Kelas Dasar III di SD Inpres Pannampu I Makassar.</w:t>
      </w:r>
    </w:p>
    <w:p w:rsidR="005319ED" w:rsidRDefault="005319ED" w:rsidP="005319ED"/>
    <w:p w:rsidR="005319ED" w:rsidRDefault="005319ED" w:rsidP="005319ED">
      <w:pPr>
        <w:pStyle w:val="ListParagraph"/>
        <w:numPr>
          <w:ilvl w:val="7"/>
          <w:numId w:val="17"/>
        </w:numPr>
        <w:ind w:left="426"/>
        <w:jc w:val="both"/>
      </w:pPr>
      <w:r>
        <w:t>Hasil validitas kemampuan membaca huruf.</w:t>
      </w:r>
    </w:p>
    <w:p w:rsidR="005319ED" w:rsidRDefault="005319ED" w:rsidP="005319ED">
      <w:pPr>
        <w:pStyle w:val="ListParagraph"/>
        <w:jc w:val="both"/>
      </w:pPr>
    </w:p>
    <w:tbl>
      <w:tblPr>
        <w:tblStyle w:val="TableGrid"/>
        <w:tblW w:w="0" w:type="auto"/>
        <w:tblInd w:w="672" w:type="dxa"/>
        <w:tblLook w:val="04A0"/>
      </w:tblPr>
      <w:tblGrid>
        <w:gridCol w:w="567"/>
        <w:gridCol w:w="709"/>
        <w:gridCol w:w="709"/>
        <w:gridCol w:w="2410"/>
        <w:gridCol w:w="1984"/>
      </w:tblGrid>
      <w:tr w:rsidR="005319ED" w:rsidTr="007E574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7E574C">
            <w:pPr>
              <w:pStyle w:val="ListParagraph"/>
              <w:ind w:left="0"/>
              <w:jc w:val="both"/>
            </w:pPr>
            <w:r>
              <w:t>No</w:t>
            </w:r>
          </w:p>
          <w:p w:rsidR="005319ED" w:rsidRDefault="005319ED" w:rsidP="007E574C">
            <w:pPr>
              <w:pStyle w:val="ListParagraph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Rater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Rumus skor hasil validitas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Jumlah</w:t>
            </w:r>
          </w:p>
        </w:tc>
      </w:tr>
      <w:tr w:rsidR="005319ED" w:rsidTr="007E57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</w:tbl>
    <w:p w:rsidR="005319ED" w:rsidRDefault="005319ED" w:rsidP="005319ED">
      <w:pPr>
        <w:pStyle w:val="ListParagraph"/>
        <w:jc w:val="both"/>
      </w:pPr>
    </w:p>
    <w:p w:rsidR="005319ED" w:rsidRDefault="005319ED" w:rsidP="005319ED">
      <w:pPr>
        <w:pStyle w:val="ListParagraph"/>
        <w:spacing w:line="480" w:lineRule="auto"/>
        <w:ind w:left="709"/>
        <w:jc w:val="both"/>
      </w:pPr>
      <w:r>
        <w:t>Skor hasil validitas diolah dengan menggunakan rumus :</w:t>
      </w:r>
    </w:p>
    <w:p w:rsidR="005319ED" w:rsidRDefault="005319ED" w:rsidP="005319ED">
      <w:pPr>
        <w:pStyle w:val="ListParagraph"/>
        <w:ind w:left="0" w:firstLine="1530"/>
        <w:jc w:val="both"/>
      </w:pPr>
      <w:r>
        <w:t>n</w:t>
      </w:r>
    </w:p>
    <w:p w:rsidR="005319ED" w:rsidRDefault="003D1040" w:rsidP="005319ED">
      <w:pPr>
        <w:pStyle w:val="ListParagraph"/>
        <w:ind w:left="1268" w:hanging="274"/>
        <w:jc w:val="both"/>
      </w:pPr>
      <w:r w:rsidRPr="003D1040">
        <w:rPr>
          <w:lang w:val="en-GB" w:eastAsia="en-GB"/>
        </w:rPr>
        <w:pict>
          <v:shape id="_x0000_s1028" type="#_x0000_t32" style="position:absolute;left:0;text-align:left;margin-left:71.85pt;margin-top:6.2pt;width:17.8pt;height:.05pt;z-index:251662336" o:connectortype="straight"/>
        </w:pict>
      </w:r>
      <w:r w:rsidR="005319ED">
        <w:t>P =           × 100 %</w:t>
      </w:r>
    </w:p>
    <w:p w:rsidR="005319ED" w:rsidRDefault="005319ED" w:rsidP="005319ED">
      <w:pPr>
        <w:pStyle w:val="ListParagraph"/>
        <w:spacing w:line="480" w:lineRule="auto"/>
        <w:ind w:left="284" w:firstLine="142"/>
        <w:jc w:val="both"/>
        <w:rPr>
          <w:lang w:val="id-ID"/>
        </w:rPr>
      </w:pPr>
      <w:r>
        <w:tab/>
      </w:r>
      <w:r>
        <w:tab/>
        <w:t xml:space="preserve"> N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P = Skor/persentase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N = Jumlah Penilai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n = Jumlah Cocok</w:t>
      </w:r>
    </w:p>
    <w:p w:rsidR="005319ED" w:rsidRDefault="005319ED" w:rsidP="005319ED">
      <w:pPr>
        <w:pStyle w:val="ListParagraph"/>
        <w:jc w:val="both"/>
      </w:pPr>
    </w:p>
    <w:p w:rsidR="005319ED" w:rsidRDefault="005319ED" w:rsidP="005319ED">
      <w:pPr>
        <w:pStyle w:val="ListParagraph"/>
        <w:jc w:val="both"/>
      </w:pPr>
    </w:p>
    <w:p w:rsidR="005319ED" w:rsidRDefault="005319ED" w:rsidP="005319ED">
      <w:pPr>
        <w:pStyle w:val="ListParagraph"/>
        <w:jc w:val="both"/>
      </w:pPr>
    </w:p>
    <w:p w:rsidR="005319ED" w:rsidRDefault="005319ED" w:rsidP="005319ED">
      <w:pPr>
        <w:pStyle w:val="ListParagraph"/>
        <w:jc w:val="both"/>
      </w:pPr>
    </w:p>
    <w:p w:rsidR="005319ED" w:rsidRDefault="005319ED" w:rsidP="005319ED">
      <w:pPr>
        <w:pStyle w:val="ListParagraph"/>
        <w:jc w:val="both"/>
      </w:pPr>
    </w:p>
    <w:p w:rsidR="005319ED" w:rsidRDefault="005319ED" w:rsidP="00732888">
      <w:pPr>
        <w:jc w:val="both"/>
      </w:pPr>
    </w:p>
    <w:p w:rsidR="005319ED" w:rsidRDefault="005319ED" w:rsidP="005319ED">
      <w:pPr>
        <w:pStyle w:val="ListParagraph"/>
        <w:numPr>
          <w:ilvl w:val="7"/>
          <w:numId w:val="17"/>
        </w:numPr>
        <w:ind w:left="426"/>
        <w:jc w:val="both"/>
      </w:pPr>
      <w:r>
        <w:lastRenderedPageBreak/>
        <w:t>Hasil validitas kemampuan membaca suku kata</w:t>
      </w:r>
    </w:p>
    <w:p w:rsidR="005319ED" w:rsidRDefault="005319ED" w:rsidP="005319ED">
      <w:pPr>
        <w:pStyle w:val="ListParagraph"/>
        <w:jc w:val="both"/>
      </w:pPr>
    </w:p>
    <w:tbl>
      <w:tblPr>
        <w:tblStyle w:val="TableGrid"/>
        <w:tblW w:w="0" w:type="auto"/>
        <w:tblInd w:w="672" w:type="dxa"/>
        <w:tblLook w:val="04A0"/>
      </w:tblPr>
      <w:tblGrid>
        <w:gridCol w:w="567"/>
        <w:gridCol w:w="709"/>
        <w:gridCol w:w="709"/>
        <w:gridCol w:w="2410"/>
        <w:gridCol w:w="1984"/>
      </w:tblGrid>
      <w:tr w:rsidR="005319ED" w:rsidTr="007E574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7E574C">
            <w:pPr>
              <w:pStyle w:val="ListParagraph"/>
              <w:ind w:left="0"/>
              <w:jc w:val="both"/>
            </w:pPr>
            <w:r>
              <w:t>No</w:t>
            </w:r>
          </w:p>
          <w:p w:rsidR="005319ED" w:rsidRDefault="005319ED" w:rsidP="007E574C">
            <w:pPr>
              <w:pStyle w:val="ListParagraph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Rater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Rumus skor hasil validitas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Jumlah</w:t>
            </w:r>
          </w:p>
        </w:tc>
      </w:tr>
      <w:tr w:rsidR="005319ED" w:rsidTr="007E57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</w:tbl>
    <w:p w:rsidR="00732888" w:rsidRDefault="00732888" w:rsidP="00732888">
      <w:pPr>
        <w:spacing w:line="480" w:lineRule="auto"/>
        <w:ind w:firstLine="720"/>
        <w:jc w:val="both"/>
      </w:pPr>
    </w:p>
    <w:p w:rsidR="005319ED" w:rsidRDefault="005319ED" w:rsidP="00732888">
      <w:pPr>
        <w:spacing w:line="480" w:lineRule="auto"/>
        <w:ind w:firstLine="720"/>
        <w:jc w:val="both"/>
      </w:pPr>
      <w:r>
        <w:t>Skor hasil validitas diolah dengan menggunakan rumus :</w:t>
      </w:r>
    </w:p>
    <w:p w:rsidR="005319ED" w:rsidRDefault="005319ED" w:rsidP="005319ED">
      <w:pPr>
        <w:pStyle w:val="ListParagraph"/>
        <w:ind w:left="0" w:firstLine="1530"/>
        <w:jc w:val="both"/>
      </w:pPr>
      <w:r>
        <w:t>n</w:t>
      </w:r>
    </w:p>
    <w:p w:rsidR="005319ED" w:rsidRDefault="003D1040" w:rsidP="005319ED">
      <w:pPr>
        <w:pStyle w:val="ListParagraph"/>
        <w:ind w:left="1268" w:hanging="274"/>
        <w:jc w:val="both"/>
      </w:pPr>
      <w:r w:rsidRPr="003D1040">
        <w:rPr>
          <w:lang w:val="en-GB" w:eastAsia="en-GB"/>
        </w:rPr>
        <w:pict>
          <v:shape id="_x0000_s1029" type="#_x0000_t32" style="position:absolute;left:0;text-align:left;margin-left:71.85pt;margin-top:6.2pt;width:17.8pt;height:.05pt;z-index:251663360" o:connectortype="straight"/>
        </w:pict>
      </w:r>
      <w:r w:rsidR="005319ED">
        <w:t>P =           × 100 %</w:t>
      </w:r>
    </w:p>
    <w:p w:rsidR="005319ED" w:rsidRDefault="005319ED" w:rsidP="005319ED">
      <w:pPr>
        <w:pStyle w:val="ListParagraph"/>
        <w:spacing w:line="480" w:lineRule="auto"/>
        <w:ind w:left="284" w:firstLine="142"/>
        <w:jc w:val="both"/>
        <w:rPr>
          <w:lang w:val="id-ID"/>
        </w:rPr>
      </w:pPr>
      <w:r>
        <w:tab/>
      </w:r>
      <w:r>
        <w:tab/>
        <w:t xml:space="preserve"> N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P = Skor/persentase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lastRenderedPageBreak/>
        <w:t>N = Jumlah Penilai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n = Jumlah Cocok</w:t>
      </w:r>
    </w:p>
    <w:p w:rsidR="005319ED" w:rsidRDefault="005319ED" w:rsidP="005319ED">
      <w:pPr>
        <w:pStyle w:val="ListParagraph"/>
        <w:numPr>
          <w:ilvl w:val="7"/>
          <w:numId w:val="17"/>
        </w:numPr>
        <w:ind w:left="426"/>
        <w:jc w:val="both"/>
      </w:pPr>
      <w:r>
        <w:t>Hasil validitas kemampuan membaca kata</w:t>
      </w:r>
    </w:p>
    <w:p w:rsidR="005319ED" w:rsidRDefault="005319ED" w:rsidP="005319ED">
      <w:pPr>
        <w:pStyle w:val="ListParagraph"/>
        <w:jc w:val="both"/>
      </w:pPr>
    </w:p>
    <w:tbl>
      <w:tblPr>
        <w:tblStyle w:val="TableGrid"/>
        <w:tblW w:w="0" w:type="auto"/>
        <w:tblInd w:w="672" w:type="dxa"/>
        <w:tblLook w:val="04A0"/>
      </w:tblPr>
      <w:tblGrid>
        <w:gridCol w:w="567"/>
        <w:gridCol w:w="709"/>
        <w:gridCol w:w="709"/>
        <w:gridCol w:w="2410"/>
        <w:gridCol w:w="1984"/>
      </w:tblGrid>
      <w:tr w:rsidR="005319ED" w:rsidTr="007E574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7E574C">
            <w:pPr>
              <w:pStyle w:val="ListParagraph"/>
              <w:ind w:left="0"/>
              <w:jc w:val="both"/>
            </w:pPr>
            <w:r>
              <w:t>No</w:t>
            </w:r>
          </w:p>
          <w:p w:rsidR="005319ED" w:rsidRDefault="005319ED" w:rsidP="007E574C">
            <w:pPr>
              <w:pStyle w:val="ListParagraph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Rater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Rumus skor hasil validitas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Jumlah</w:t>
            </w:r>
          </w:p>
        </w:tc>
      </w:tr>
      <w:tr w:rsidR="005319ED" w:rsidTr="007E574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ED" w:rsidRDefault="005319ED" w:rsidP="007E574C"/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  <w:tr w:rsidR="005319ED" w:rsidTr="007E5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ED" w:rsidRDefault="005319ED" w:rsidP="007E574C">
            <w:pPr>
              <w:pStyle w:val="ListParagraph"/>
              <w:ind w:left="0"/>
              <w:jc w:val="center"/>
            </w:pPr>
            <w:r>
              <w:t>100 %</w:t>
            </w:r>
          </w:p>
        </w:tc>
      </w:tr>
    </w:tbl>
    <w:p w:rsidR="005319ED" w:rsidRDefault="005319ED" w:rsidP="005319ED">
      <w:pPr>
        <w:pStyle w:val="ListParagraph"/>
        <w:jc w:val="both"/>
      </w:pPr>
    </w:p>
    <w:p w:rsidR="005319ED" w:rsidRDefault="005319ED" w:rsidP="005319ED">
      <w:pPr>
        <w:pStyle w:val="ListParagraph"/>
        <w:spacing w:line="480" w:lineRule="auto"/>
        <w:ind w:left="709"/>
        <w:jc w:val="both"/>
      </w:pPr>
      <w:r>
        <w:t>Skor hasil validitas diolah dengan menggunakan rumus :</w:t>
      </w:r>
    </w:p>
    <w:p w:rsidR="005319ED" w:rsidRDefault="005319ED" w:rsidP="005319ED">
      <w:pPr>
        <w:pStyle w:val="ListParagraph"/>
        <w:ind w:left="0" w:firstLine="1530"/>
        <w:jc w:val="both"/>
      </w:pPr>
      <w:r>
        <w:t>n</w:t>
      </w:r>
    </w:p>
    <w:p w:rsidR="005319ED" w:rsidRDefault="003D1040" w:rsidP="005319ED">
      <w:pPr>
        <w:pStyle w:val="ListParagraph"/>
        <w:ind w:left="1268" w:hanging="274"/>
        <w:jc w:val="both"/>
      </w:pPr>
      <w:r w:rsidRPr="003D1040">
        <w:rPr>
          <w:lang w:val="en-GB" w:eastAsia="en-GB"/>
        </w:rPr>
        <w:pict>
          <v:shape id="_x0000_s1027" type="#_x0000_t32" style="position:absolute;left:0;text-align:left;margin-left:71.85pt;margin-top:6.2pt;width:17.8pt;height:.05pt;z-index:251661312" o:connectortype="straight"/>
        </w:pict>
      </w:r>
      <w:r w:rsidR="005319ED">
        <w:t>P =           × 100 %</w:t>
      </w:r>
    </w:p>
    <w:p w:rsidR="005319ED" w:rsidRDefault="005319ED" w:rsidP="005319ED">
      <w:pPr>
        <w:pStyle w:val="ListParagraph"/>
        <w:spacing w:line="480" w:lineRule="auto"/>
        <w:ind w:left="284" w:firstLine="142"/>
        <w:jc w:val="both"/>
        <w:rPr>
          <w:lang w:val="id-ID"/>
        </w:rPr>
      </w:pPr>
      <w:r>
        <w:tab/>
      </w:r>
      <w:r>
        <w:tab/>
        <w:t xml:space="preserve"> N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P = Skor/persentase</w:t>
      </w:r>
    </w:p>
    <w:p w:rsidR="005319ED" w:rsidRDefault="005319ED" w:rsidP="005319ED">
      <w:pPr>
        <w:pStyle w:val="ListParagraph"/>
        <w:spacing w:line="480" w:lineRule="auto"/>
        <w:ind w:left="1080"/>
        <w:jc w:val="both"/>
      </w:pPr>
      <w:r>
        <w:t>N = Jumlah Penilai</w:t>
      </w:r>
    </w:p>
    <w:p w:rsidR="00E44B98" w:rsidRPr="005319ED" w:rsidRDefault="005319ED" w:rsidP="005319ED">
      <w:pPr>
        <w:pStyle w:val="ListParagraph"/>
        <w:spacing w:line="480" w:lineRule="auto"/>
        <w:ind w:left="1080"/>
        <w:jc w:val="both"/>
      </w:pPr>
      <w:r>
        <w:t>n = Jumlah Cocok</w:t>
      </w:r>
    </w:p>
    <w:sectPr w:rsidR="00E44B98" w:rsidRPr="005319ED" w:rsidSect="005319ED">
      <w:headerReference w:type="even" r:id="rId7"/>
      <w:headerReference w:type="default" r:id="rId8"/>
      <w:headerReference w:type="first" r:id="rId9"/>
      <w:pgSz w:w="12240" w:h="15840"/>
      <w:pgMar w:top="2268" w:right="1701" w:bottom="1701" w:left="2268" w:header="1701" w:footer="567" w:gutter="0"/>
      <w:pgNumType w:start="1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98" w:rsidRDefault="00160498" w:rsidP="005319ED">
      <w:r>
        <w:separator/>
      </w:r>
    </w:p>
  </w:endnote>
  <w:endnote w:type="continuationSeparator" w:id="1">
    <w:p w:rsidR="00160498" w:rsidRDefault="00160498" w:rsidP="0053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98" w:rsidRDefault="00160498" w:rsidP="005319ED">
      <w:r>
        <w:separator/>
      </w:r>
    </w:p>
  </w:footnote>
  <w:footnote w:type="continuationSeparator" w:id="1">
    <w:p w:rsidR="00160498" w:rsidRDefault="00160498" w:rsidP="0053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176"/>
      <w:docPartObj>
        <w:docPartGallery w:val="Page Numbers (Top of Page)"/>
        <w:docPartUnique/>
      </w:docPartObj>
    </w:sdtPr>
    <w:sdtContent>
      <w:p w:rsidR="00330577" w:rsidRDefault="00160498" w:rsidP="00330577">
        <w:pPr>
          <w:pStyle w:val="Header"/>
          <w:jc w:val="right"/>
        </w:pPr>
        <w:r>
          <w:t>144</w:t>
        </w:r>
      </w:p>
    </w:sdtContent>
  </w:sdt>
  <w:p w:rsidR="00822A26" w:rsidRDefault="001604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70"/>
      <w:docPartObj>
        <w:docPartGallery w:val="Page Numbers (Top of Page)"/>
        <w:docPartUnique/>
      </w:docPartObj>
    </w:sdtPr>
    <w:sdtContent>
      <w:p w:rsidR="005319ED" w:rsidRDefault="003D1040">
        <w:pPr>
          <w:pStyle w:val="Header"/>
          <w:jc w:val="right"/>
        </w:pPr>
        <w:fldSimple w:instr=" PAGE   \* MERGEFORMAT ">
          <w:r w:rsidR="00403B34">
            <w:rPr>
              <w:noProof/>
            </w:rPr>
            <w:t>144</w:t>
          </w:r>
        </w:fldSimple>
      </w:p>
    </w:sdtContent>
  </w:sdt>
  <w:p w:rsidR="00822A26" w:rsidRDefault="001604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52"/>
      <w:docPartObj>
        <w:docPartGallery w:val="Page Numbers (Top of Page)"/>
        <w:docPartUnique/>
      </w:docPartObj>
    </w:sdtPr>
    <w:sdtContent>
      <w:p w:rsidR="00822A26" w:rsidRDefault="005319ED">
        <w:pPr>
          <w:pStyle w:val="Header"/>
          <w:jc w:val="right"/>
        </w:pPr>
        <w:r>
          <w:t>136</w:t>
        </w:r>
      </w:p>
    </w:sdtContent>
  </w:sdt>
  <w:p w:rsidR="00822A26" w:rsidRDefault="001604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B5"/>
    <w:multiLevelType w:val="hybridMultilevel"/>
    <w:tmpl w:val="01BE1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736"/>
    <w:multiLevelType w:val="hybridMultilevel"/>
    <w:tmpl w:val="6BA87384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4276F"/>
    <w:multiLevelType w:val="hybridMultilevel"/>
    <w:tmpl w:val="8EB2BA16"/>
    <w:lvl w:ilvl="0" w:tplc="ADC8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AD28A">
      <w:start w:val="1"/>
      <w:numFmt w:val="decimal"/>
      <w:lvlText w:val="%2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2" w:tplc="DF3A57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622AAA0">
      <w:start w:val="2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BD6ECC46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A0D6C88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629A17D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899"/>
    <w:multiLevelType w:val="hybridMultilevel"/>
    <w:tmpl w:val="FCAE56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D2039"/>
    <w:multiLevelType w:val="hybridMultilevel"/>
    <w:tmpl w:val="3A24DB4C"/>
    <w:lvl w:ilvl="0" w:tplc="C546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44905"/>
    <w:multiLevelType w:val="hybridMultilevel"/>
    <w:tmpl w:val="FA88C3A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21DD6150"/>
    <w:multiLevelType w:val="hybridMultilevel"/>
    <w:tmpl w:val="F47868C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58D8"/>
    <w:multiLevelType w:val="hybridMultilevel"/>
    <w:tmpl w:val="5866B766"/>
    <w:lvl w:ilvl="0" w:tplc="CDF4A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3359C"/>
    <w:multiLevelType w:val="hybridMultilevel"/>
    <w:tmpl w:val="BE381F9C"/>
    <w:lvl w:ilvl="0" w:tplc="09B4BBF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2A60CE9"/>
    <w:multiLevelType w:val="hybridMultilevel"/>
    <w:tmpl w:val="4910433A"/>
    <w:lvl w:ilvl="0" w:tplc="CDF4A5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95F38"/>
    <w:multiLevelType w:val="hybridMultilevel"/>
    <w:tmpl w:val="06BCDA5E"/>
    <w:lvl w:ilvl="0" w:tplc="AE7EB1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7A4448"/>
    <w:multiLevelType w:val="hybridMultilevel"/>
    <w:tmpl w:val="674C532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29975FB"/>
    <w:multiLevelType w:val="hybridMultilevel"/>
    <w:tmpl w:val="E26E244A"/>
    <w:lvl w:ilvl="0" w:tplc="262A7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68EA"/>
    <w:multiLevelType w:val="hybridMultilevel"/>
    <w:tmpl w:val="ABCE7F88"/>
    <w:lvl w:ilvl="0" w:tplc="FDB49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E4330"/>
    <w:multiLevelType w:val="multilevel"/>
    <w:tmpl w:val="9D94CE28"/>
    <w:lvl w:ilvl="0">
      <w:start w:val="3"/>
      <w:numFmt w:val="decimal"/>
      <w:lvlText w:val="%1."/>
      <w:lvlJc w:val="left"/>
      <w:pPr>
        <w:ind w:left="907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267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987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347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06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427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7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507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227" w:hanging="1800"/>
      </w:pPr>
      <w:rPr>
        <w:rFonts w:cstheme="minorBidi" w:hint="default"/>
      </w:rPr>
    </w:lvl>
  </w:abstractNum>
  <w:abstractNum w:abstractNumId="16">
    <w:nsid w:val="7D157294"/>
    <w:multiLevelType w:val="hybridMultilevel"/>
    <w:tmpl w:val="3F96DDFC"/>
    <w:lvl w:ilvl="0" w:tplc="CF78D5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ED"/>
    <w:rsid w:val="00087320"/>
    <w:rsid w:val="00160498"/>
    <w:rsid w:val="003D1040"/>
    <w:rsid w:val="00403B34"/>
    <w:rsid w:val="005319ED"/>
    <w:rsid w:val="00572A55"/>
    <w:rsid w:val="00732888"/>
    <w:rsid w:val="00E15886"/>
    <w:rsid w:val="00E4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  <o:r id="V:Rule9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ED"/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531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3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E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3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9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</dc:creator>
  <cp:lastModifiedBy>harni</cp:lastModifiedBy>
  <cp:revision>4</cp:revision>
  <cp:lastPrinted>2015-02-15T09:38:00Z</cp:lastPrinted>
  <dcterms:created xsi:type="dcterms:W3CDTF">2015-02-05T07:48:00Z</dcterms:created>
  <dcterms:modified xsi:type="dcterms:W3CDTF">2015-02-15T09:47:00Z</dcterms:modified>
</cp:coreProperties>
</file>