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28" w:rsidRDefault="009D6328" w:rsidP="009D632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9D6328" w:rsidRDefault="009D6328" w:rsidP="009D6328">
      <w:pPr>
        <w:spacing w:after="0" w:line="240" w:lineRule="auto"/>
        <w:jc w:val="both"/>
        <w:rPr>
          <w:rFonts w:ascii="Times New Roman" w:hAnsi="Times New Roman" w:cs="Times New Roman"/>
          <w:sz w:val="24"/>
          <w:szCs w:val="24"/>
        </w:rPr>
      </w:pPr>
    </w:p>
    <w:p w:rsidR="009D6328" w:rsidRDefault="009D6328" w:rsidP="009D6328">
      <w:pPr>
        <w:spacing w:after="0" w:line="240" w:lineRule="auto"/>
        <w:jc w:val="both"/>
        <w:rPr>
          <w:rFonts w:ascii="Times New Roman" w:hAnsi="Times New Roman" w:cs="Times New Roman"/>
          <w:sz w:val="24"/>
          <w:szCs w:val="24"/>
        </w:rPr>
      </w:pPr>
    </w:p>
    <w:p w:rsidR="009D6328" w:rsidRDefault="009D6328" w:rsidP="009D6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RISNA HERAWATY I. 2014. </w:t>
      </w:r>
      <w:r w:rsidRPr="00D125D4">
        <w:rPr>
          <w:rFonts w:ascii="Times New Roman" w:hAnsi="Times New Roman" w:cs="Times New Roman"/>
          <w:i/>
          <w:sz w:val="24"/>
          <w:szCs w:val="24"/>
        </w:rPr>
        <w:t>Pengembangan Perangkat pembelajaran Kimia Hidrokarbon dengan Model Kooperatif Tipe TGT Berbantuan Makromedia</w:t>
      </w:r>
      <w:r>
        <w:rPr>
          <w:rFonts w:ascii="Times New Roman" w:hAnsi="Times New Roman" w:cs="Times New Roman"/>
          <w:sz w:val="24"/>
          <w:szCs w:val="24"/>
        </w:rPr>
        <w:t>. (Dibimbing oleh Muh. Danial dan Munir Tanrere).</w:t>
      </w:r>
    </w:p>
    <w:p w:rsidR="009D6328" w:rsidRDefault="009D6328" w:rsidP="009D6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9D6328" w:rsidRDefault="009D6328" w:rsidP="009D6328">
      <w:pPr>
        <w:pStyle w:val="ListParagraph"/>
        <w:spacing w:after="0" w:line="240" w:lineRule="auto"/>
        <w:ind w:left="0" w:firstLine="720"/>
        <w:jc w:val="both"/>
        <w:rPr>
          <w:rFonts w:ascii="Times New Roman" w:eastAsia="Times New Roman" w:hAnsi="Times New Roman" w:cs="Times New Roman"/>
          <w:bCs/>
          <w:sz w:val="24"/>
          <w:szCs w:val="24"/>
          <w:lang w:eastAsia="id-ID"/>
        </w:rPr>
      </w:pPr>
      <w:r>
        <w:rPr>
          <w:rFonts w:ascii="Times New Roman" w:hAnsi="Times New Roman" w:cs="Times New Roman"/>
          <w:sz w:val="24"/>
          <w:szCs w:val="24"/>
        </w:rPr>
        <w:t xml:space="preserve">Tujuan penelitian ini adalah untuk </w:t>
      </w:r>
      <w:r>
        <w:rPr>
          <w:rFonts w:ascii="Times New Roman" w:eastAsia="Times New Roman" w:hAnsi="Times New Roman" w:cs="Times New Roman"/>
          <w:bCs/>
          <w:sz w:val="24"/>
          <w:szCs w:val="24"/>
          <w:lang w:eastAsia="id-ID"/>
        </w:rPr>
        <w:t xml:space="preserve">mengetahui langkah-langkah sistematis pengembangan perangkat </w:t>
      </w:r>
      <w:r w:rsidRPr="00075BA5">
        <w:rPr>
          <w:rFonts w:ascii="Times New Roman" w:eastAsia="Times New Roman" w:hAnsi="Times New Roman" w:cs="Times New Roman"/>
          <w:bCs/>
          <w:sz w:val="24"/>
          <w:szCs w:val="24"/>
          <w:lang w:eastAsia="id-ID"/>
        </w:rPr>
        <w:t>Pembelajaran Kimia Hidrokarbon</w:t>
      </w:r>
      <w:r>
        <w:rPr>
          <w:rFonts w:ascii="Times New Roman" w:eastAsia="Times New Roman" w:hAnsi="Times New Roman" w:cs="Times New Roman"/>
          <w:bCs/>
          <w:sz w:val="24"/>
          <w:szCs w:val="24"/>
          <w:lang w:eastAsia="id-ID"/>
        </w:rPr>
        <w:t xml:space="preserve"> dengan</w:t>
      </w:r>
      <w:r w:rsidRPr="00075BA5">
        <w:rPr>
          <w:rFonts w:ascii="Times New Roman" w:eastAsia="Times New Roman" w:hAnsi="Times New Roman" w:cs="Times New Roman"/>
          <w:bCs/>
          <w:sz w:val="24"/>
          <w:szCs w:val="24"/>
          <w:lang w:eastAsia="id-ID"/>
        </w:rPr>
        <w:t xml:space="preserve"> Model Kooperatif Tipe TGT Berbantuan Makromedia</w:t>
      </w:r>
      <w:r>
        <w:rPr>
          <w:rFonts w:ascii="Times New Roman" w:eastAsia="Times New Roman" w:hAnsi="Times New Roman" w:cs="Times New Roman"/>
          <w:bCs/>
          <w:sz w:val="24"/>
          <w:szCs w:val="24"/>
          <w:lang w:eastAsia="id-ID"/>
        </w:rPr>
        <w:t xml:space="preserve"> dan u</w:t>
      </w:r>
      <w:r w:rsidRPr="00FA378A">
        <w:rPr>
          <w:rFonts w:ascii="Times New Roman" w:eastAsia="Times New Roman" w:hAnsi="Times New Roman" w:cs="Times New Roman"/>
          <w:bCs/>
          <w:sz w:val="24"/>
          <w:szCs w:val="24"/>
          <w:lang w:eastAsia="id-ID"/>
        </w:rPr>
        <w:t>ntuk mengetahui kevalidan, kepraktisan, dan keefektifan perangkat Pembelajaran Kimia Hidrokarbon dengan Model Kooperatif Tipe TGT Berbantuan Makromedia</w:t>
      </w:r>
      <w:r>
        <w:rPr>
          <w:rFonts w:ascii="Times New Roman" w:eastAsia="Times New Roman" w:hAnsi="Times New Roman" w:cs="Times New Roman"/>
          <w:bCs/>
          <w:sz w:val="24"/>
          <w:szCs w:val="24"/>
          <w:lang w:eastAsia="id-ID"/>
        </w:rPr>
        <w:t xml:space="preserve"> setelah uji coba</w:t>
      </w:r>
      <w:r w:rsidRPr="00FA378A">
        <w:rPr>
          <w:rFonts w:ascii="Times New Roman" w:eastAsia="Times New Roman" w:hAnsi="Times New Roman" w:cs="Times New Roman"/>
          <w:bCs/>
          <w:sz w:val="24"/>
          <w:szCs w:val="24"/>
          <w:lang w:eastAsia="id-ID"/>
        </w:rPr>
        <w:t>.</w:t>
      </w:r>
      <w:r>
        <w:rPr>
          <w:rFonts w:ascii="Times New Roman" w:eastAsia="Times New Roman" w:hAnsi="Times New Roman" w:cs="Times New Roman"/>
          <w:bCs/>
          <w:sz w:val="24"/>
          <w:szCs w:val="24"/>
          <w:lang w:eastAsia="id-ID"/>
        </w:rPr>
        <w:t xml:space="preserve"> Secara sistematis  langkah-langkah yang dilakukan dalam penelitian pengembangan perangkat pembelajaran kimia Hidrokarbon pada SMK Primanegara Jeneponto berpedoman pada langkah-langkah pokok pengembangan pembelajaran model 4-D yang terbagi dalam empat tahapan yaitu: pendefenisian (</w:t>
      </w:r>
      <w:r w:rsidRPr="005D5711">
        <w:rPr>
          <w:rFonts w:ascii="Times New Roman" w:eastAsia="Times New Roman" w:hAnsi="Times New Roman" w:cs="Times New Roman"/>
          <w:bCs/>
          <w:i/>
          <w:sz w:val="24"/>
          <w:szCs w:val="24"/>
          <w:lang w:eastAsia="id-ID"/>
        </w:rPr>
        <w:t>define</w:t>
      </w:r>
      <w:r>
        <w:rPr>
          <w:rFonts w:ascii="Times New Roman" w:eastAsia="Times New Roman" w:hAnsi="Times New Roman" w:cs="Times New Roman"/>
          <w:bCs/>
          <w:sz w:val="24"/>
          <w:szCs w:val="24"/>
          <w:lang w:eastAsia="id-ID"/>
        </w:rPr>
        <w:t>), perancangan (</w:t>
      </w:r>
      <w:r w:rsidRPr="005D5711">
        <w:rPr>
          <w:rFonts w:ascii="Times New Roman" w:eastAsia="Times New Roman" w:hAnsi="Times New Roman" w:cs="Times New Roman"/>
          <w:bCs/>
          <w:i/>
          <w:sz w:val="24"/>
          <w:szCs w:val="24"/>
          <w:lang w:eastAsia="id-ID"/>
        </w:rPr>
        <w:t>design</w:t>
      </w:r>
      <w:r>
        <w:rPr>
          <w:rFonts w:ascii="Times New Roman" w:eastAsia="Times New Roman" w:hAnsi="Times New Roman" w:cs="Times New Roman"/>
          <w:bCs/>
          <w:sz w:val="24"/>
          <w:szCs w:val="24"/>
          <w:lang w:eastAsia="id-ID"/>
        </w:rPr>
        <w:t>), pengembangan (</w:t>
      </w:r>
      <w:r w:rsidRPr="005D5711">
        <w:rPr>
          <w:rFonts w:ascii="Times New Roman" w:eastAsia="Times New Roman" w:hAnsi="Times New Roman" w:cs="Times New Roman"/>
          <w:bCs/>
          <w:i/>
          <w:sz w:val="24"/>
          <w:szCs w:val="24"/>
          <w:lang w:eastAsia="id-ID"/>
        </w:rPr>
        <w:t>develop</w:t>
      </w:r>
      <w:r>
        <w:rPr>
          <w:rFonts w:ascii="Times New Roman" w:eastAsia="Times New Roman" w:hAnsi="Times New Roman" w:cs="Times New Roman"/>
          <w:bCs/>
          <w:sz w:val="24"/>
          <w:szCs w:val="24"/>
          <w:lang w:eastAsia="id-ID"/>
        </w:rPr>
        <w:t>), dan penyebarluasan (</w:t>
      </w:r>
      <w:r w:rsidRPr="005D5711">
        <w:rPr>
          <w:rFonts w:ascii="Times New Roman" w:eastAsia="Times New Roman" w:hAnsi="Times New Roman" w:cs="Times New Roman"/>
          <w:bCs/>
          <w:i/>
          <w:sz w:val="24"/>
          <w:szCs w:val="24"/>
          <w:lang w:eastAsia="id-ID"/>
        </w:rPr>
        <w:t>disseminate</w:t>
      </w:r>
      <w:r>
        <w:rPr>
          <w:rFonts w:ascii="Times New Roman" w:eastAsia="Times New Roman" w:hAnsi="Times New Roman" w:cs="Times New Roman"/>
          <w:bCs/>
          <w:sz w:val="24"/>
          <w:szCs w:val="24"/>
          <w:lang w:eastAsia="id-ID"/>
        </w:rPr>
        <w:t xml:space="preserve">). Perangkat pembelajaran yang dikembangkan divalidasi oleh 2 orang ahli dengan hasil penilaian berada pada kategori valid. </w:t>
      </w:r>
    </w:p>
    <w:p w:rsidR="009D6328" w:rsidRDefault="009D6328" w:rsidP="009D6328">
      <w:pPr>
        <w:pStyle w:val="ListParagraph"/>
        <w:spacing w:after="0" w:line="240" w:lineRule="auto"/>
        <w:ind w:left="0" w:firstLine="720"/>
        <w:jc w:val="both"/>
        <w:rPr>
          <w:rFonts w:ascii="Times New Roman" w:eastAsia="Times New Roman" w:hAnsi="Times New Roman" w:cs="Times New Roman"/>
          <w:bCs/>
          <w:sz w:val="24"/>
          <w:szCs w:val="24"/>
          <w:lang w:eastAsia="id-ID"/>
        </w:rPr>
      </w:pPr>
      <w:r>
        <w:rPr>
          <w:rFonts w:ascii="Times New Roman" w:eastAsia="Times New Roman" w:hAnsi="Times New Roman" w:cs="Times New Roman"/>
          <w:bCs/>
          <w:sz w:val="24"/>
          <w:szCs w:val="24"/>
          <w:lang w:eastAsia="id-ID"/>
        </w:rPr>
        <w:t>Dari hasil analisis keterlaksanaan perangkat pembelajaran berada pada kategori tinggi dengan nilai rata-rata 4,08 dan memenuhi kriteria praktis. Tingkat keberhasilan dalam uji coba lapangan menunjukkan bahwa ketuntasan belajar siswa kelas XI keperawatan SMK Primanegara Jeneponto adalah 86,67%. Adapun aktivitas siswa dan respon siswa, serta kemampuan guru mengelolah pembelajaran berada pada kategori tinggi telah memenuhi kriteria keefektifan. Berdasarkan kriteria yang digunakan untuk menilai perangkat pembelajaran yang dihasilkan yaitu kevalidan, keefektifan, dan kepraktisan, maka perangkat pembelajaran yang dikembangkan memenuhi kriteria valid, praktis, dan efektif.</w:t>
      </w:r>
    </w:p>
    <w:p w:rsidR="009D6328" w:rsidRDefault="009D6328" w:rsidP="009D6328">
      <w:pPr>
        <w:pStyle w:val="ListParagraph"/>
        <w:spacing w:after="0" w:line="240" w:lineRule="auto"/>
        <w:ind w:left="0" w:firstLine="720"/>
        <w:jc w:val="both"/>
        <w:rPr>
          <w:rFonts w:ascii="Times New Roman" w:eastAsia="Times New Roman" w:hAnsi="Times New Roman" w:cs="Times New Roman"/>
          <w:bCs/>
          <w:sz w:val="24"/>
          <w:szCs w:val="24"/>
          <w:lang w:eastAsia="id-ID"/>
        </w:rPr>
      </w:pPr>
    </w:p>
    <w:p w:rsidR="009D6328" w:rsidRDefault="009D6328" w:rsidP="009D6328">
      <w:pPr>
        <w:pStyle w:val="ListParagraph"/>
        <w:spacing w:after="0" w:line="240" w:lineRule="auto"/>
        <w:ind w:left="0" w:firstLine="720"/>
        <w:jc w:val="both"/>
        <w:rPr>
          <w:rFonts w:ascii="Times New Roman" w:eastAsia="Times New Roman" w:hAnsi="Times New Roman" w:cs="Times New Roman"/>
          <w:bCs/>
          <w:sz w:val="24"/>
          <w:szCs w:val="24"/>
          <w:lang w:eastAsia="id-ID"/>
        </w:rPr>
      </w:pPr>
    </w:p>
    <w:p w:rsidR="009D6328" w:rsidRDefault="009D6328" w:rsidP="009D6328">
      <w:pPr>
        <w:pStyle w:val="ListParagraph"/>
        <w:spacing w:after="0" w:line="240" w:lineRule="auto"/>
        <w:ind w:left="0" w:firstLine="720"/>
        <w:jc w:val="both"/>
        <w:rPr>
          <w:rFonts w:ascii="Times New Roman" w:eastAsia="Times New Roman" w:hAnsi="Times New Roman" w:cs="Times New Roman"/>
          <w:bCs/>
          <w:sz w:val="24"/>
          <w:szCs w:val="24"/>
          <w:lang w:eastAsia="id-ID"/>
        </w:rPr>
      </w:pPr>
    </w:p>
    <w:p w:rsidR="009D6328" w:rsidRDefault="009D6328" w:rsidP="009D6328">
      <w:pPr>
        <w:pStyle w:val="ListParagraph"/>
        <w:spacing w:after="0" w:line="240" w:lineRule="auto"/>
        <w:ind w:left="0" w:firstLine="720"/>
        <w:jc w:val="both"/>
        <w:rPr>
          <w:rFonts w:ascii="Times New Roman" w:eastAsia="Times New Roman" w:hAnsi="Times New Roman" w:cs="Times New Roman"/>
          <w:bCs/>
          <w:sz w:val="24"/>
          <w:szCs w:val="24"/>
          <w:lang w:eastAsia="id-ID"/>
        </w:rPr>
      </w:pPr>
    </w:p>
    <w:p w:rsidR="009D6328" w:rsidRDefault="009D6328" w:rsidP="009D6328">
      <w:pPr>
        <w:spacing w:after="0" w:line="240" w:lineRule="auto"/>
        <w:jc w:val="both"/>
        <w:rPr>
          <w:rFonts w:ascii="Times New Roman" w:hAnsi="Times New Roman" w:cs="Times New Roman"/>
          <w:sz w:val="24"/>
          <w:szCs w:val="24"/>
        </w:rPr>
      </w:pPr>
    </w:p>
    <w:p w:rsidR="009D6328" w:rsidRDefault="009D6328" w:rsidP="009D6328">
      <w:pPr>
        <w:spacing w:after="0" w:line="240" w:lineRule="auto"/>
        <w:jc w:val="both"/>
        <w:rPr>
          <w:rFonts w:ascii="Times New Roman" w:hAnsi="Times New Roman" w:cs="Times New Roman"/>
          <w:sz w:val="24"/>
          <w:szCs w:val="24"/>
        </w:rPr>
      </w:pPr>
    </w:p>
    <w:p w:rsidR="009D6328" w:rsidRDefault="009D6328" w:rsidP="009D6328">
      <w:pPr>
        <w:spacing w:after="0" w:line="240" w:lineRule="auto"/>
        <w:jc w:val="both"/>
        <w:rPr>
          <w:rFonts w:ascii="Times New Roman" w:hAnsi="Times New Roman" w:cs="Times New Roman"/>
          <w:sz w:val="24"/>
          <w:szCs w:val="24"/>
        </w:rPr>
      </w:pPr>
    </w:p>
    <w:p w:rsidR="009D6328" w:rsidRDefault="009D6328" w:rsidP="009D6328">
      <w:pPr>
        <w:rPr>
          <w:rFonts w:ascii="Times New Roman" w:hAnsi="Times New Roman" w:cs="Times New Roman"/>
          <w:sz w:val="24"/>
          <w:szCs w:val="24"/>
        </w:rPr>
      </w:pPr>
    </w:p>
    <w:p w:rsidR="009D6328" w:rsidRDefault="009D6328" w:rsidP="009D6328">
      <w:pPr>
        <w:tabs>
          <w:tab w:val="left" w:pos="2848"/>
        </w:tabs>
        <w:rPr>
          <w:rFonts w:ascii="Times New Roman" w:hAnsi="Times New Roman" w:cs="Times New Roman"/>
          <w:b/>
          <w:sz w:val="24"/>
          <w:szCs w:val="24"/>
        </w:rPr>
      </w:pPr>
      <w:r w:rsidRPr="00065CA9">
        <w:rPr>
          <w:rFonts w:ascii="Times New Roman" w:hAnsi="Times New Roman" w:cs="Times New Roman"/>
          <w:b/>
          <w:sz w:val="24"/>
          <w:szCs w:val="24"/>
        </w:rPr>
        <w:tab/>
      </w:r>
    </w:p>
    <w:p w:rsidR="009D6328" w:rsidRDefault="009D6328" w:rsidP="009D6328">
      <w:pPr>
        <w:tabs>
          <w:tab w:val="left" w:pos="2848"/>
        </w:tabs>
        <w:rPr>
          <w:rFonts w:ascii="Times New Roman" w:hAnsi="Times New Roman" w:cs="Times New Roman"/>
          <w:b/>
          <w:sz w:val="24"/>
          <w:szCs w:val="24"/>
        </w:rPr>
      </w:pPr>
    </w:p>
    <w:p w:rsidR="009D6328" w:rsidRDefault="009D6328" w:rsidP="009D6328">
      <w:pPr>
        <w:tabs>
          <w:tab w:val="left" w:pos="2848"/>
        </w:tabs>
        <w:rPr>
          <w:rFonts w:ascii="Times New Roman" w:hAnsi="Times New Roman" w:cs="Times New Roman"/>
          <w:b/>
          <w:sz w:val="24"/>
          <w:szCs w:val="24"/>
        </w:rPr>
      </w:pPr>
    </w:p>
    <w:p w:rsidR="009D6328" w:rsidRDefault="009D6328" w:rsidP="009D6328">
      <w:pPr>
        <w:tabs>
          <w:tab w:val="left" w:pos="2848"/>
        </w:tabs>
        <w:rPr>
          <w:rFonts w:ascii="Times New Roman" w:hAnsi="Times New Roman" w:cs="Times New Roman"/>
          <w:b/>
          <w:sz w:val="24"/>
          <w:szCs w:val="24"/>
        </w:rPr>
      </w:pPr>
    </w:p>
    <w:p w:rsidR="009D6328" w:rsidRDefault="009D6328" w:rsidP="009D6328">
      <w:pPr>
        <w:tabs>
          <w:tab w:val="left" w:pos="2848"/>
        </w:tabs>
        <w:rPr>
          <w:rFonts w:ascii="Times New Roman" w:hAnsi="Times New Roman" w:cs="Times New Roman"/>
          <w:b/>
          <w:sz w:val="24"/>
          <w:szCs w:val="24"/>
        </w:rPr>
      </w:pPr>
    </w:p>
    <w:p w:rsidR="009D6328" w:rsidRDefault="009D6328" w:rsidP="009D6328">
      <w:pPr>
        <w:tabs>
          <w:tab w:val="left" w:pos="2848"/>
        </w:tabs>
        <w:rPr>
          <w:rFonts w:ascii="Times New Roman" w:hAnsi="Times New Roman" w:cs="Times New Roman"/>
          <w:b/>
          <w:sz w:val="24"/>
          <w:szCs w:val="24"/>
        </w:rPr>
      </w:pPr>
    </w:p>
    <w:p w:rsidR="009D6328" w:rsidRDefault="009D6328" w:rsidP="009D6328">
      <w:pPr>
        <w:tabs>
          <w:tab w:val="left" w:pos="2848"/>
        </w:tabs>
        <w:rPr>
          <w:rFonts w:ascii="Times New Roman" w:hAnsi="Times New Roman" w:cs="Times New Roman"/>
          <w:b/>
          <w:sz w:val="24"/>
          <w:szCs w:val="24"/>
        </w:rPr>
      </w:pPr>
    </w:p>
    <w:p w:rsidR="009D6328" w:rsidRDefault="009D6328" w:rsidP="009D6328">
      <w:pPr>
        <w:tabs>
          <w:tab w:val="left" w:pos="2848"/>
        </w:tabs>
        <w:rPr>
          <w:rFonts w:ascii="Times New Roman" w:hAnsi="Times New Roman" w:cs="Times New Roman"/>
          <w:b/>
          <w:sz w:val="24"/>
          <w:szCs w:val="24"/>
        </w:rPr>
      </w:pPr>
    </w:p>
    <w:p w:rsidR="009D6328" w:rsidRDefault="009D6328" w:rsidP="009D6328">
      <w:pPr>
        <w:tabs>
          <w:tab w:val="left" w:pos="2848"/>
        </w:tabs>
        <w:jc w:val="center"/>
        <w:rPr>
          <w:rFonts w:ascii="Times New Roman" w:hAnsi="Times New Roman" w:cs="Times New Roman"/>
          <w:b/>
          <w:sz w:val="24"/>
          <w:szCs w:val="24"/>
        </w:rPr>
      </w:pPr>
      <w:r>
        <w:rPr>
          <w:rFonts w:ascii="Times New Roman" w:hAnsi="Times New Roman" w:cs="Times New Roman"/>
          <w:b/>
          <w:sz w:val="24"/>
          <w:szCs w:val="24"/>
        </w:rPr>
        <w:lastRenderedPageBreak/>
        <w:t>ABSTRACT</w:t>
      </w:r>
    </w:p>
    <w:p w:rsidR="009D6328" w:rsidRDefault="009D6328" w:rsidP="009D6328">
      <w:pPr>
        <w:tabs>
          <w:tab w:val="left" w:pos="2263"/>
        </w:tabs>
        <w:rPr>
          <w:rFonts w:ascii="Times New Roman" w:hAnsi="Times New Roman" w:cs="Times New Roman"/>
          <w:sz w:val="24"/>
          <w:szCs w:val="24"/>
        </w:rPr>
      </w:pPr>
    </w:p>
    <w:p w:rsidR="009D6328" w:rsidRDefault="009D6328" w:rsidP="009D6328">
      <w:pPr>
        <w:tabs>
          <w:tab w:val="left" w:pos="2263"/>
        </w:tabs>
        <w:spacing w:after="0" w:line="240" w:lineRule="auto"/>
        <w:jc w:val="both"/>
        <w:rPr>
          <w:rFonts w:ascii="Times New Roman" w:hAnsi="Times New Roman" w:cs="Times New Roman"/>
          <w:sz w:val="24"/>
          <w:szCs w:val="24"/>
        </w:rPr>
      </w:pPr>
      <w:r w:rsidRPr="008E44B9">
        <w:rPr>
          <w:rFonts w:ascii="Times New Roman" w:hAnsi="Times New Roman" w:cs="Times New Roman"/>
          <w:sz w:val="24"/>
          <w:szCs w:val="24"/>
        </w:rPr>
        <w:t>RISNA HERAWATY I.</w:t>
      </w:r>
      <w:r>
        <w:rPr>
          <w:rFonts w:ascii="Times New Roman" w:hAnsi="Times New Roman" w:cs="Times New Roman"/>
          <w:sz w:val="24"/>
          <w:szCs w:val="24"/>
        </w:rPr>
        <w:t xml:space="preserve"> 2014. </w:t>
      </w:r>
      <w:r w:rsidRPr="00E16DE2">
        <w:rPr>
          <w:rFonts w:ascii="Times New Roman" w:hAnsi="Times New Roman" w:cs="Times New Roman"/>
          <w:i/>
          <w:sz w:val="24"/>
          <w:szCs w:val="24"/>
        </w:rPr>
        <w:t>The Development of Chemistry Learning Package on Hydrocarbon by Employing Cooperative Model of TGT Type with Macromedia</w:t>
      </w:r>
      <w:r>
        <w:rPr>
          <w:rFonts w:ascii="Times New Roman" w:hAnsi="Times New Roman" w:cs="Times New Roman"/>
          <w:sz w:val="24"/>
          <w:szCs w:val="24"/>
        </w:rPr>
        <w:t xml:space="preserve"> (suvervised by Muh. Danial and Munir Tanrere).</w:t>
      </w:r>
    </w:p>
    <w:p w:rsidR="009D6328" w:rsidRDefault="009D6328" w:rsidP="009D6328">
      <w:pPr>
        <w:tabs>
          <w:tab w:val="left" w:pos="2263"/>
        </w:tabs>
        <w:spacing w:after="0" w:line="240" w:lineRule="auto"/>
        <w:jc w:val="both"/>
        <w:rPr>
          <w:rFonts w:ascii="Times New Roman" w:hAnsi="Times New Roman" w:cs="Times New Roman"/>
          <w:sz w:val="24"/>
          <w:szCs w:val="24"/>
        </w:rPr>
      </w:pPr>
    </w:p>
    <w:p w:rsidR="009D6328" w:rsidRDefault="009D6328" w:rsidP="009D6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The study aimed at examining the systematic steps of the develompent of Chemistry learning on Hydrocarbon by employing cooperative model of TGT type with macromedia and discovering the validity, practicalyti, and effectiveness of Chemistry learning </w:t>
      </w:r>
      <w:r w:rsidRPr="00656AE0">
        <w:rPr>
          <w:rFonts w:ascii="Times New Roman" w:hAnsi="Times New Roman" w:cs="Times New Roman"/>
          <w:sz w:val="24"/>
          <w:szCs w:val="24"/>
        </w:rPr>
        <w:t>Package on Hydrocarbon by Employing Cooperative Model of TGT Type with Macromedia</w:t>
      </w:r>
      <w:r>
        <w:rPr>
          <w:rFonts w:ascii="Times New Roman" w:hAnsi="Times New Roman" w:cs="Times New Roman"/>
          <w:sz w:val="24"/>
          <w:szCs w:val="24"/>
        </w:rPr>
        <w:t xml:space="preserve"> after the tryout. The research and develompent was conducted at SMK primanegara Jeneponto and reverred to 4-D model, which divided into four steps, namely defining step, design step, development step, and dissemination step. The learning package developed was validited by two experts with the result that the pacage was in valid category.</w:t>
      </w:r>
    </w:p>
    <w:p w:rsidR="009D6328" w:rsidRDefault="009D6328" w:rsidP="009D632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The result based on the analysis the implementation of learning package was in high category with the mean 4,08 and fulfilled the criteria of practical. The level of success at the field tryout indicated that learning mastery of grade XI students of nursery at SMK Primanegara Jeneponto was 86,67 %. As for student’s activities and responses, and the ability of teachers in managing the learning was in high category and has fulfilled the criteria of effectiveness. Based on the criteria used to assess the learning package, that is generated validity, effectiveness, and practicality, the learning package developed has fulfilled the criteria of valid, practical, and effective.</w:t>
      </w:r>
    </w:p>
    <w:p w:rsidR="009D6328" w:rsidRDefault="009D6328" w:rsidP="009D6328">
      <w:pPr>
        <w:jc w:val="both"/>
        <w:rPr>
          <w:rFonts w:ascii="Times New Roman" w:hAnsi="Times New Roman" w:cs="Times New Roman"/>
          <w:sz w:val="24"/>
          <w:szCs w:val="24"/>
        </w:rPr>
      </w:pPr>
    </w:p>
    <w:p w:rsidR="00834FD0" w:rsidRDefault="00834FD0"/>
    <w:sectPr w:rsidR="00834FD0" w:rsidSect="00834FD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D6328"/>
    <w:rsid w:val="00834FD0"/>
    <w:rsid w:val="009D632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632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PC-16</dc:creator>
  <cp:keywords/>
  <dc:description/>
  <cp:lastModifiedBy>PC-16</cp:lastModifiedBy>
  <cp:revision>1</cp:revision>
  <dcterms:created xsi:type="dcterms:W3CDTF">2016-04-19T06:56:00Z</dcterms:created>
  <dcterms:modified xsi:type="dcterms:W3CDTF">2016-04-19T06:57:00Z</dcterms:modified>
</cp:coreProperties>
</file>