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41" w:rsidRPr="00CF68DB" w:rsidRDefault="004B7E41" w:rsidP="004B7E41">
      <w:pPr>
        <w:jc w:val="center"/>
        <w:rPr>
          <w:rFonts w:ascii="Times New Roman" w:hAnsi="Times New Roman" w:cs="Times New Roman"/>
          <w:bCs/>
          <w:color w:val="080808"/>
          <w:sz w:val="24"/>
          <w:szCs w:val="24"/>
        </w:rPr>
      </w:pPr>
      <w:r w:rsidRPr="00D86430">
        <w:rPr>
          <w:rFonts w:ascii="Arial" w:hAnsi="Arial" w:cs="Arial"/>
          <w:bCs/>
          <w:noProof/>
          <w:color w:val="080808"/>
        </w:rPr>
        <w:drawing>
          <wp:inline distT="0" distB="0" distL="0" distR="0" wp14:anchorId="4E270D24" wp14:editId="4B2FEFD3">
            <wp:extent cx="1088000" cy="108000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88000" cy="1080000"/>
                    </a:xfrm>
                    <a:prstGeom prst="rect">
                      <a:avLst/>
                    </a:prstGeom>
                    <a:noFill/>
                    <a:ln w="9525">
                      <a:noFill/>
                      <a:miter lim="800000"/>
                      <a:headEnd/>
                      <a:tailEnd/>
                    </a:ln>
                  </pic:spPr>
                </pic:pic>
              </a:graphicData>
            </a:graphic>
          </wp:inline>
        </w:drawing>
      </w:r>
    </w:p>
    <w:p w:rsidR="004B7E41" w:rsidRPr="00397F62" w:rsidRDefault="004B7E41" w:rsidP="004B7E41">
      <w:pPr>
        <w:jc w:val="center"/>
        <w:rPr>
          <w:rFonts w:ascii="Times New Roman" w:hAnsi="Times New Roman"/>
          <w:b/>
          <w:color w:val="0D0D0D"/>
          <w:sz w:val="24"/>
          <w:szCs w:val="24"/>
        </w:rPr>
      </w:pPr>
    </w:p>
    <w:p w:rsidR="004B7E41" w:rsidRDefault="004B7E41" w:rsidP="004B7E41">
      <w:pPr>
        <w:spacing w:after="0"/>
        <w:jc w:val="center"/>
        <w:rPr>
          <w:rFonts w:ascii="Times New Roman" w:hAnsi="Times New Roman"/>
          <w:b/>
          <w:color w:val="0D0D0D"/>
          <w:sz w:val="24"/>
          <w:szCs w:val="24"/>
        </w:rPr>
      </w:pPr>
    </w:p>
    <w:p w:rsidR="004B7E41" w:rsidRDefault="004B7E41" w:rsidP="004B7E41">
      <w:pPr>
        <w:spacing w:after="0"/>
        <w:jc w:val="center"/>
        <w:rPr>
          <w:rFonts w:ascii="Times New Roman" w:hAnsi="Times New Roman"/>
          <w:b/>
          <w:color w:val="0D0D0D"/>
          <w:sz w:val="24"/>
          <w:szCs w:val="24"/>
        </w:rPr>
      </w:pPr>
    </w:p>
    <w:p w:rsidR="004B7E41" w:rsidRDefault="004B7E41" w:rsidP="004B7E41">
      <w:pPr>
        <w:spacing w:after="0"/>
        <w:jc w:val="center"/>
        <w:rPr>
          <w:rFonts w:ascii="Times New Roman" w:hAnsi="Times New Roman"/>
          <w:b/>
          <w:color w:val="0D0D0D"/>
          <w:sz w:val="24"/>
          <w:szCs w:val="24"/>
        </w:rPr>
      </w:pPr>
      <w:r>
        <w:rPr>
          <w:rFonts w:ascii="Times New Roman" w:hAnsi="Times New Roman"/>
          <w:b/>
          <w:color w:val="0D0D0D"/>
          <w:sz w:val="24"/>
          <w:szCs w:val="24"/>
        </w:rPr>
        <w:t xml:space="preserve">IMPROVING STUDENTS’ VOCABULARY MASTERY </w:t>
      </w:r>
    </w:p>
    <w:p w:rsidR="004B7E41" w:rsidRDefault="004B7E41" w:rsidP="004B7E41">
      <w:pPr>
        <w:spacing w:after="0"/>
        <w:jc w:val="center"/>
        <w:rPr>
          <w:rFonts w:ascii="Times New Roman" w:hAnsi="Times New Roman"/>
          <w:b/>
          <w:color w:val="0D0D0D"/>
          <w:sz w:val="24"/>
          <w:szCs w:val="24"/>
        </w:rPr>
      </w:pPr>
      <w:r>
        <w:rPr>
          <w:rFonts w:ascii="Times New Roman" w:hAnsi="Times New Roman"/>
          <w:b/>
          <w:color w:val="0D0D0D"/>
          <w:sz w:val="24"/>
          <w:szCs w:val="24"/>
        </w:rPr>
        <w:t>BY USING FAST HANDS GAME (FHG)</w:t>
      </w:r>
    </w:p>
    <w:p w:rsidR="004B7E41" w:rsidRDefault="004B7E41" w:rsidP="004B7E41">
      <w:pPr>
        <w:spacing w:after="0"/>
        <w:jc w:val="center"/>
        <w:rPr>
          <w:rFonts w:ascii="Times New Roman" w:hAnsi="Times New Roman"/>
          <w:b/>
          <w:color w:val="0D0D0D"/>
          <w:sz w:val="24"/>
          <w:szCs w:val="24"/>
        </w:rPr>
      </w:pPr>
    </w:p>
    <w:p w:rsidR="004B7E41" w:rsidRDefault="004B7E41" w:rsidP="004B7E41">
      <w:pPr>
        <w:jc w:val="center"/>
        <w:rPr>
          <w:rFonts w:ascii="Times New Roman" w:hAnsi="Times New Roman"/>
          <w:b/>
          <w:color w:val="0D0D0D"/>
          <w:sz w:val="24"/>
          <w:szCs w:val="24"/>
        </w:rPr>
      </w:pPr>
    </w:p>
    <w:p w:rsidR="004B7E41" w:rsidRPr="007F582A" w:rsidRDefault="004B7E41" w:rsidP="004B7E41">
      <w:pPr>
        <w:jc w:val="center"/>
        <w:rPr>
          <w:rFonts w:ascii="Times New Roman" w:hAnsi="Times New Roman"/>
          <w:b/>
          <w:color w:val="0D0D0D"/>
          <w:sz w:val="24"/>
          <w:szCs w:val="24"/>
        </w:rPr>
      </w:pPr>
    </w:p>
    <w:p w:rsidR="004B7E41" w:rsidRPr="00CF68DB" w:rsidRDefault="004B7E41" w:rsidP="004B7E41">
      <w:pPr>
        <w:jc w:val="center"/>
        <w:rPr>
          <w:rFonts w:ascii="Times New Roman" w:hAnsi="Times New Roman"/>
          <w:b/>
          <w:color w:val="0D0D0D"/>
          <w:sz w:val="24"/>
          <w:szCs w:val="24"/>
        </w:rPr>
      </w:pPr>
      <w:r>
        <w:rPr>
          <w:rFonts w:ascii="Times New Roman" w:hAnsi="Times New Roman"/>
          <w:b/>
          <w:color w:val="0D0D0D"/>
          <w:sz w:val="24"/>
          <w:szCs w:val="24"/>
        </w:rPr>
        <w:t>A Thesis</w:t>
      </w:r>
    </w:p>
    <w:p w:rsidR="004B7E41" w:rsidRPr="00D46453" w:rsidRDefault="004B7E41" w:rsidP="004B7E41">
      <w:pPr>
        <w:spacing w:after="0"/>
        <w:jc w:val="center"/>
        <w:rPr>
          <w:rFonts w:ascii="Times New Roman" w:hAnsi="Times New Roman"/>
          <w:i/>
          <w:color w:val="0D0D0D"/>
          <w:sz w:val="24"/>
          <w:szCs w:val="24"/>
        </w:rPr>
      </w:pPr>
      <w:r w:rsidRPr="00D46453">
        <w:rPr>
          <w:rFonts w:ascii="Times New Roman" w:hAnsi="Times New Roman"/>
          <w:i/>
          <w:color w:val="0D0D0D"/>
          <w:sz w:val="24"/>
          <w:szCs w:val="24"/>
        </w:rPr>
        <w:t>Submitted to the Faculty of Languages and Literature of</w:t>
      </w:r>
    </w:p>
    <w:p w:rsidR="004B7E41" w:rsidRPr="00D46453" w:rsidRDefault="004B7E41" w:rsidP="004B7E41">
      <w:pPr>
        <w:spacing w:after="0"/>
        <w:jc w:val="center"/>
        <w:rPr>
          <w:rFonts w:ascii="Times New Roman" w:hAnsi="Times New Roman"/>
          <w:i/>
          <w:color w:val="0D0D0D"/>
          <w:sz w:val="24"/>
          <w:szCs w:val="24"/>
        </w:rPr>
      </w:pPr>
      <w:r w:rsidRPr="00D46453">
        <w:rPr>
          <w:rFonts w:ascii="Times New Roman" w:hAnsi="Times New Roman"/>
          <w:i/>
          <w:color w:val="0D0D0D"/>
          <w:sz w:val="24"/>
          <w:szCs w:val="24"/>
        </w:rPr>
        <w:t>State University of Makassar in Partial Fulfillment of the Requirements for the Degree of Sarjana Pendidikan</w:t>
      </w:r>
    </w:p>
    <w:p w:rsidR="004B7E41" w:rsidRDefault="004B7E41" w:rsidP="004B7E41">
      <w:pPr>
        <w:jc w:val="center"/>
        <w:rPr>
          <w:rFonts w:ascii="Times New Roman" w:hAnsi="Times New Roman"/>
          <w:b/>
          <w:color w:val="0D0D0D"/>
          <w:sz w:val="24"/>
          <w:szCs w:val="24"/>
        </w:rPr>
      </w:pPr>
    </w:p>
    <w:p w:rsidR="004B7E41" w:rsidRDefault="004B7E41" w:rsidP="004B7E41">
      <w:pPr>
        <w:rPr>
          <w:rFonts w:ascii="Times New Roman" w:hAnsi="Times New Roman"/>
          <w:b/>
          <w:color w:val="0D0D0D"/>
          <w:sz w:val="24"/>
          <w:szCs w:val="24"/>
        </w:rPr>
      </w:pPr>
    </w:p>
    <w:p w:rsidR="004B7E41" w:rsidRDefault="004B7E41" w:rsidP="004B7E41">
      <w:pPr>
        <w:rPr>
          <w:rFonts w:ascii="Times New Roman" w:hAnsi="Times New Roman"/>
          <w:b/>
          <w:color w:val="0D0D0D"/>
          <w:sz w:val="24"/>
          <w:szCs w:val="24"/>
        </w:rPr>
      </w:pPr>
    </w:p>
    <w:p w:rsidR="004B7E41" w:rsidRPr="008857EA" w:rsidRDefault="004B7E41" w:rsidP="004B7E41">
      <w:pPr>
        <w:rPr>
          <w:rFonts w:ascii="Times New Roman" w:hAnsi="Times New Roman"/>
          <w:b/>
          <w:color w:val="0D0D0D"/>
          <w:sz w:val="24"/>
          <w:szCs w:val="24"/>
        </w:rPr>
      </w:pPr>
    </w:p>
    <w:p w:rsidR="004B7E41" w:rsidRPr="007F582A" w:rsidRDefault="004B7E41" w:rsidP="004B7E4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MUHAMMAD NUR ILHAM</w:t>
      </w:r>
    </w:p>
    <w:p w:rsidR="004B7E41" w:rsidRDefault="004B7E41" w:rsidP="004B7E4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1352040024</w:t>
      </w:r>
    </w:p>
    <w:p w:rsidR="004B7E41" w:rsidRPr="004340EE" w:rsidRDefault="004B7E41" w:rsidP="004B7E41">
      <w:pPr>
        <w:spacing w:line="240" w:lineRule="auto"/>
        <w:contextualSpacing/>
        <w:jc w:val="center"/>
        <w:rPr>
          <w:rFonts w:ascii="Times New Roman" w:hAnsi="Times New Roman" w:cs="Times New Roman"/>
          <w:b/>
          <w:sz w:val="24"/>
          <w:szCs w:val="24"/>
        </w:rPr>
      </w:pPr>
    </w:p>
    <w:p w:rsidR="004B7E41" w:rsidRPr="00397F62" w:rsidRDefault="004B7E41" w:rsidP="004B7E41">
      <w:pPr>
        <w:spacing w:after="0"/>
        <w:jc w:val="center"/>
        <w:rPr>
          <w:rFonts w:ascii="Times New Roman" w:hAnsi="Times New Roman"/>
          <w:b/>
          <w:color w:val="0D0D0D"/>
          <w:sz w:val="24"/>
          <w:szCs w:val="24"/>
        </w:rPr>
      </w:pPr>
    </w:p>
    <w:p w:rsidR="004B7E41" w:rsidRPr="00397F62" w:rsidRDefault="004B7E41" w:rsidP="004B7E41">
      <w:pPr>
        <w:rPr>
          <w:rFonts w:ascii="Times New Roman" w:hAnsi="Times New Roman"/>
          <w:b/>
          <w:color w:val="0D0D0D"/>
          <w:sz w:val="24"/>
          <w:szCs w:val="24"/>
        </w:rPr>
      </w:pPr>
    </w:p>
    <w:p w:rsidR="004B7E41" w:rsidRPr="00D46453" w:rsidRDefault="004B7E41" w:rsidP="004B7E41">
      <w:pPr>
        <w:pStyle w:val="BodyText"/>
        <w:rPr>
          <w:b/>
          <w:bCs/>
          <w:color w:val="0D0D0D"/>
          <w:sz w:val="24"/>
          <w:szCs w:val="24"/>
        </w:rPr>
      </w:pPr>
    </w:p>
    <w:p w:rsidR="004B7E41" w:rsidRDefault="004B7E41" w:rsidP="004B7E41">
      <w:pPr>
        <w:pStyle w:val="BodyText"/>
        <w:jc w:val="center"/>
        <w:rPr>
          <w:b/>
          <w:bCs/>
          <w:color w:val="0D0D0D"/>
          <w:sz w:val="24"/>
          <w:szCs w:val="24"/>
        </w:rPr>
      </w:pPr>
    </w:p>
    <w:p w:rsidR="004B7E41" w:rsidRPr="00397F62" w:rsidRDefault="004B7E41" w:rsidP="004B7E41">
      <w:pPr>
        <w:pStyle w:val="BodyText"/>
        <w:jc w:val="center"/>
        <w:rPr>
          <w:b/>
          <w:bCs/>
          <w:color w:val="0D0D0D"/>
          <w:sz w:val="24"/>
          <w:szCs w:val="24"/>
        </w:rPr>
      </w:pPr>
      <w:r w:rsidRPr="00397F62">
        <w:rPr>
          <w:b/>
          <w:bCs/>
          <w:color w:val="0D0D0D"/>
          <w:sz w:val="24"/>
          <w:szCs w:val="24"/>
        </w:rPr>
        <w:t>ENGLISH DEPARTMENT</w:t>
      </w:r>
    </w:p>
    <w:p w:rsidR="004B7E41" w:rsidRPr="00397F62" w:rsidRDefault="004B7E41" w:rsidP="004B7E41">
      <w:pPr>
        <w:pStyle w:val="BodyText"/>
        <w:jc w:val="center"/>
        <w:rPr>
          <w:b/>
          <w:bCs/>
          <w:color w:val="0D0D0D"/>
          <w:sz w:val="24"/>
          <w:szCs w:val="24"/>
        </w:rPr>
      </w:pPr>
      <w:r w:rsidRPr="00397F62">
        <w:rPr>
          <w:b/>
          <w:bCs/>
          <w:color w:val="0D0D0D"/>
          <w:sz w:val="24"/>
          <w:szCs w:val="24"/>
        </w:rPr>
        <w:t>FACULTY OF LANGUAGES AND LITERATURE</w:t>
      </w:r>
    </w:p>
    <w:p w:rsidR="004B7E41" w:rsidRPr="00397F62" w:rsidRDefault="004B7E41" w:rsidP="004B7E41">
      <w:pPr>
        <w:pStyle w:val="BodyText"/>
        <w:jc w:val="center"/>
        <w:rPr>
          <w:b/>
          <w:bCs/>
          <w:color w:val="0D0D0D"/>
          <w:sz w:val="24"/>
          <w:szCs w:val="24"/>
        </w:rPr>
      </w:pPr>
      <w:r w:rsidRPr="00397F62">
        <w:rPr>
          <w:b/>
          <w:bCs/>
          <w:color w:val="0D0D0D"/>
          <w:sz w:val="24"/>
          <w:szCs w:val="24"/>
        </w:rPr>
        <w:t>STATE UNIVERSITY OF MAKASSAR</w:t>
      </w:r>
    </w:p>
    <w:p w:rsidR="004B7E41" w:rsidRDefault="004B7E41" w:rsidP="004B7E41">
      <w:pPr>
        <w:pStyle w:val="BodyText"/>
        <w:spacing w:line="240" w:lineRule="auto"/>
        <w:jc w:val="center"/>
        <w:rPr>
          <w:b/>
          <w:bCs/>
          <w:color w:val="0D0D0D"/>
          <w:sz w:val="24"/>
          <w:szCs w:val="24"/>
        </w:rPr>
      </w:pPr>
      <w:r>
        <w:rPr>
          <w:b/>
          <w:bCs/>
          <w:color w:val="0D0D0D"/>
          <w:sz w:val="24"/>
          <w:szCs w:val="24"/>
        </w:rPr>
        <w:t>2017</w:t>
      </w:r>
    </w:p>
    <w:p w:rsidR="00F8727D" w:rsidRDefault="00F8727D"/>
    <w:p w:rsidR="004B7E41" w:rsidRDefault="004B7E41"/>
    <w:p w:rsidR="004B7E41" w:rsidRDefault="004B7E41" w:rsidP="004B7E41">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ABSTRACT</w:t>
      </w:r>
    </w:p>
    <w:p w:rsidR="004B7E41" w:rsidRDefault="004B7E41" w:rsidP="004B7E41">
      <w:pPr>
        <w:spacing w:line="360" w:lineRule="auto"/>
        <w:jc w:val="center"/>
        <w:rPr>
          <w:rFonts w:ascii="Times New Roman" w:hAnsi="Times New Roman" w:cs="Times New Roman"/>
          <w:b/>
          <w:bCs/>
          <w:sz w:val="26"/>
          <w:szCs w:val="26"/>
        </w:rPr>
      </w:pPr>
    </w:p>
    <w:p w:rsidR="004B7E41" w:rsidRDefault="004B7E41" w:rsidP="004B7E41">
      <w:pPr>
        <w:jc w:val="both"/>
        <w:rPr>
          <w:rFonts w:ascii="Times New Roman" w:hAnsi="Times New Roman" w:cs="Times New Roman"/>
          <w:b/>
          <w:bCs/>
          <w:sz w:val="24"/>
          <w:szCs w:val="24"/>
          <w:lang w:val="en-US"/>
        </w:rPr>
      </w:pPr>
      <w:r>
        <w:rPr>
          <w:rFonts w:ascii="Times New Roman" w:hAnsi="Times New Roman" w:cs="Times New Roman"/>
          <w:b/>
          <w:sz w:val="24"/>
          <w:szCs w:val="24"/>
        </w:rPr>
        <w:t xml:space="preserve">Ilham, M.N. 2017. </w:t>
      </w:r>
      <w:r>
        <w:rPr>
          <w:rFonts w:asciiTheme="majorBidi" w:hAnsiTheme="majorBidi" w:cstheme="majorBidi"/>
          <w:b/>
          <w:i/>
          <w:color w:val="000000"/>
          <w:sz w:val="24"/>
          <w:szCs w:val="24"/>
        </w:rPr>
        <w:t>Improving Students’ Vocabulary Mastery by Using Fast Hands Game (FHG)</w:t>
      </w:r>
      <w:r>
        <w:rPr>
          <w:rFonts w:asciiTheme="majorBidi" w:hAnsiTheme="majorBidi" w:cstheme="majorBidi"/>
          <w:b/>
          <w:color w:val="000000"/>
          <w:sz w:val="24"/>
          <w:szCs w:val="24"/>
        </w:rPr>
        <w:t xml:space="preserve">. </w:t>
      </w:r>
      <w:r>
        <w:rPr>
          <w:rFonts w:ascii="Times New Roman" w:hAnsi="Times New Roman" w:cs="Times New Roman"/>
          <w:b/>
          <w:bCs/>
          <w:sz w:val="24"/>
          <w:szCs w:val="24"/>
        </w:rPr>
        <w:t>A Thesis. English Department. Faculty of Language</w:t>
      </w:r>
      <w:r>
        <w:rPr>
          <w:rFonts w:ascii="Times New Roman" w:hAnsi="Times New Roman" w:cs="Times New Roman"/>
          <w:b/>
          <w:bCs/>
          <w:sz w:val="24"/>
          <w:szCs w:val="24"/>
          <w:lang w:val="en-CA"/>
        </w:rPr>
        <w:t>s</w:t>
      </w:r>
      <w:r>
        <w:rPr>
          <w:rFonts w:ascii="Times New Roman" w:hAnsi="Times New Roman" w:cs="Times New Roman"/>
          <w:b/>
          <w:bCs/>
          <w:sz w:val="24"/>
          <w:szCs w:val="24"/>
        </w:rPr>
        <w:t xml:space="preserve"> and Literature. State University of Makassar (Supervised by Mansur Akil and Maemuna Muhayyang).</w:t>
      </w:r>
    </w:p>
    <w:p w:rsidR="004B7E41" w:rsidRDefault="004B7E41" w:rsidP="004B7E41">
      <w:pPr>
        <w:jc w:val="both"/>
        <w:rPr>
          <w:rFonts w:ascii="Times New Roman" w:hAnsi="Times New Roman" w:cs="Times New Roman"/>
          <w:sz w:val="24"/>
          <w:szCs w:val="24"/>
        </w:rPr>
      </w:pPr>
      <w:r>
        <w:rPr>
          <w:rFonts w:ascii="Times New Roman" w:hAnsi="Times New Roman" w:cs="Times New Roman"/>
          <w:sz w:val="24"/>
          <w:szCs w:val="24"/>
        </w:rPr>
        <w:tab/>
      </w:r>
    </w:p>
    <w:p w:rsidR="004B7E41" w:rsidRDefault="004B7E41" w:rsidP="004B7E41">
      <w:pPr>
        <w:jc w:val="both"/>
        <w:rPr>
          <w:rFonts w:ascii="Times New Roman" w:hAnsi="Times New Roman" w:cs="Times New Roman"/>
          <w:b/>
          <w:bCs/>
          <w:sz w:val="24"/>
          <w:szCs w:val="24"/>
          <w:lang w:val="en-US"/>
        </w:rPr>
      </w:pPr>
      <w:r>
        <w:rPr>
          <w:rFonts w:ascii="Times New Roman" w:hAnsi="Times New Roman" w:cs="Times New Roman"/>
          <w:sz w:val="24"/>
          <w:szCs w:val="24"/>
        </w:rPr>
        <w:t>The objective of the research was to find out whether or not the use of FHG can improve students’ vocabulary mastery. The researcher applied pre-experimental method with one group pretest and posttest design. The population of the research was the seventh grade students of SMP Negeri 1 Liliriaja in academic year 2016/2017. The total sample of the research was 20 students. It was determined by using simple random sampling. The data were collected through vocabulary test (pretest and posttest) to find out whether or not the implementation of FHG improved the vocabulary mastery of the seventh grade students of SMP Negeri 1 Liliriaja. The researcher used t-test analysis. The result of the data analysis showed that there was a significant difference between pretest and posttest. It was proved by the mean score of the students’ tests in which their posttest mean score (</w:t>
      </w:r>
      <w:r>
        <w:rPr>
          <w:rFonts w:ascii="Times New Roman" w:hAnsi="Times New Roman"/>
          <w:color w:val="000000"/>
          <w:sz w:val="24"/>
          <w:szCs w:val="24"/>
        </w:rPr>
        <w:t>77.1</w:t>
      </w:r>
      <w:r>
        <w:rPr>
          <w:rFonts w:ascii="Times New Roman" w:hAnsi="Times New Roman" w:cs="Times New Roman"/>
          <w:sz w:val="24"/>
          <w:szCs w:val="24"/>
        </w:rPr>
        <w:t>) was higher than the mean score of their pretest (</w:t>
      </w:r>
      <w:r>
        <w:rPr>
          <w:rFonts w:ascii="Times New Roman" w:hAnsi="Times New Roman"/>
          <w:color w:val="000000"/>
          <w:sz w:val="24"/>
          <w:szCs w:val="24"/>
        </w:rPr>
        <w:t>56.55</w:t>
      </w:r>
      <w:r>
        <w:rPr>
          <w:rFonts w:ascii="Times New Roman" w:hAnsi="Times New Roman" w:cs="Times New Roman"/>
          <w:sz w:val="24"/>
          <w:szCs w:val="24"/>
        </w:rPr>
        <w:t>). It was also proven by the t-test conducted by the researcher. The t-test value (20.76) was higher than the t-table (2.093). Therefore, it can be concluded that FHG can improve students’ vocabulary mastery.</w:t>
      </w:r>
    </w:p>
    <w:p w:rsidR="00353C5F" w:rsidRDefault="004B7E41" w:rsidP="00353C5F">
      <w:pPr>
        <w:spacing w:before="240"/>
        <w:jc w:val="both"/>
        <w:rPr>
          <w:rFonts w:ascii="Times New Roman" w:hAnsi="Times New Roman" w:cs="Times New Roman"/>
          <w:b/>
          <w:i/>
          <w:sz w:val="24"/>
          <w:szCs w:val="24"/>
        </w:rPr>
      </w:pPr>
      <w:r>
        <w:rPr>
          <w:rFonts w:ascii="Times New Roman" w:hAnsi="Times New Roman" w:cs="Times New Roman"/>
          <w:b/>
          <w:i/>
          <w:sz w:val="24"/>
          <w:szCs w:val="24"/>
        </w:rPr>
        <w:t>Keywords: Vocabulary Mastery, Fast Hands Game, FHG.</w:t>
      </w:r>
    </w:p>
    <w:p w:rsidR="00353C5F" w:rsidRDefault="00353C5F" w:rsidP="00353C5F">
      <w:pPr>
        <w:spacing w:before="240"/>
        <w:jc w:val="center"/>
        <w:rPr>
          <w:rFonts w:ascii="Times New Roman" w:hAnsi="Times New Roman" w:cs="Times New Roman"/>
          <w:b/>
          <w:i/>
          <w:sz w:val="24"/>
          <w:szCs w:val="24"/>
        </w:rPr>
      </w:pPr>
    </w:p>
    <w:p w:rsidR="004B7E41" w:rsidRPr="00353C5F" w:rsidRDefault="004B7E41" w:rsidP="00353C5F">
      <w:pPr>
        <w:spacing w:before="240"/>
        <w:jc w:val="center"/>
        <w:rPr>
          <w:rFonts w:ascii="Times New Roman" w:hAnsi="Times New Roman" w:cs="Times New Roman"/>
          <w:b/>
          <w:i/>
          <w:sz w:val="24"/>
          <w:szCs w:val="24"/>
        </w:rPr>
      </w:pPr>
      <w:r w:rsidRPr="004B7E41">
        <w:rPr>
          <w:b/>
        </w:rPr>
        <w:t>DAFTAR PUSTAKA</w:t>
      </w:r>
    </w:p>
    <w:bookmarkStart w:id="0" w:name="_GoBack"/>
    <w:bookmarkEnd w:id="0"/>
    <w:p w:rsidR="004B7E41" w:rsidRPr="004B7E41" w:rsidRDefault="004B7E41" w:rsidP="004B7E41">
      <w:pPr>
        <w:widowControl w:val="0"/>
        <w:autoSpaceDE w:val="0"/>
        <w:autoSpaceDN w:val="0"/>
        <w:adjustRightInd w:val="0"/>
        <w:spacing w:line="240" w:lineRule="auto"/>
        <w:ind w:left="640" w:hanging="64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Pr="004B7E41">
        <w:rPr>
          <w:rFonts w:ascii="Calibri" w:hAnsi="Calibri" w:cs="Calibri"/>
          <w:noProof/>
          <w:szCs w:val="24"/>
        </w:rPr>
        <w:t>[1]</w:t>
      </w:r>
      <w:r w:rsidRPr="004B7E41">
        <w:rPr>
          <w:rFonts w:ascii="Calibri" w:hAnsi="Calibri" w:cs="Calibri"/>
          <w:noProof/>
          <w:szCs w:val="24"/>
        </w:rPr>
        <w:tab/>
        <w:t xml:space="preserve">I. Hermagustiana, A. Hamra, Q. Rahman, and K. Salija, “Reflection of teacher cognition in EFL vocabulary instructional practices in Indonesia,” </w:t>
      </w:r>
      <w:r w:rsidRPr="004B7E41">
        <w:rPr>
          <w:rFonts w:ascii="Calibri" w:hAnsi="Calibri" w:cs="Calibri"/>
          <w:i/>
          <w:iCs/>
          <w:noProof/>
          <w:szCs w:val="24"/>
        </w:rPr>
        <w:t>Int. J. English Lingusitics</w:t>
      </w:r>
      <w:r w:rsidRPr="004B7E41">
        <w:rPr>
          <w:rFonts w:ascii="Calibri" w:hAnsi="Calibri" w:cs="Calibri"/>
          <w:noProof/>
          <w:szCs w:val="24"/>
        </w:rPr>
        <w:t>, vol. 7, no. 5, pp. 34–45, 2017.</w:t>
      </w:r>
    </w:p>
    <w:p w:rsidR="004B7E41" w:rsidRPr="004B7E41" w:rsidRDefault="004B7E41" w:rsidP="004B7E41">
      <w:pPr>
        <w:widowControl w:val="0"/>
        <w:autoSpaceDE w:val="0"/>
        <w:autoSpaceDN w:val="0"/>
        <w:adjustRightInd w:val="0"/>
        <w:spacing w:line="240" w:lineRule="auto"/>
        <w:ind w:left="640" w:hanging="640"/>
        <w:rPr>
          <w:rFonts w:ascii="Calibri" w:hAnsi="Calibri" w:cs="Calibri"/>
          <w:noProof/>
          <w:szCs w:val="24"/>
        </w:rPr>
      </w:pPr>
      <w:r w:rsidRPr="004B7E41">
        <w:rPr>
          <w:rFonts w:ascii="Calibri" w:hAnsi="Calibri" w:cs="Calibri"/>
          <w:noProof/>
          <w:szCs w:val="24"/>
        </w:rPr>
        <w:t>[2]</w:t>
      </w:r>
      <w:r w:rsidRPr="004B7E41">
        <w:rPr>
          <w:rFonts w:ascii="Calibri" w:hAnsi="Calibri" w:cs="Calibri"/>
          <w:noProof/>
          <w:szCs w:val="24"/>
        </w:rPr>
        <w:tab/>
        <w:t xml:space="preserve">S. Z. Bin-Tahir, H. Atmowardoyo, S. Dollah, Y. Rinantanti, and A. Suriaman, “MULTILINGUAL AND MONO-MULTILINGUAL STUDENTS’PERFORMANCE IN ENGLISH SPEAKING,” </w:t>
      </w:r>
      <w:r w:rsidRPr="004B7E41">
        <w:rPr>
          <w:rFonts w:ascii="Calibri" w:hAnsi="Calibri" w:cs="Calibri"/>
          <w:i/>
          <w:iCs/>
          <w:noProof/>
          <w:szCs w:val="24"/>
        </w:rPr>
        <w:t>J. Adv. English Stud.</w:t>
      </w:r>
      <w:r w:rsidRPr="004B7E41">
        <w:rPr>
          <w:rFonts w:ascii="Calibri" w:hAnsi="Calibri" w:cs="Calibri"/>
          <w:noProof/>
          <w:szCs w:val="24"/>
        </w:rPr>
        <w:t>, vol. 1, no. 2, pp. 32–38, 2018.</w:t>
      </w:r>
    </w:p>
    <w:p w:rsidR="004B7E41" w:rsidRPr="004B7E41" w:rsidRDefault="004B7E41" w:rsidP="004B7E41">
      <w:pPr>
        <w:widowControl w:val="0"/>
        <w:autoSpaceDE w:val="0"/>
        <w:autoSpaceDN w:val="0"/>
        <w:adjustRightInd w:val="0"/>
        <w:spacing w:line="240" w:lineRule="auto"/>
        <w:ind w:left="640" w:hanging="640"/>
        <w:rPr>
          <w:rFonts w:ascii="Calibri" w:hAnsi="Calibri" w:cs="Calibri"/>
          <w:noProof/>
          <w:szCs w:val="24"/>
        </w:rPr>
      </w:pPr>
      <w:r w:rsidRPr="004B7E41">
        <w:rPr>
          <w:rFonts w:ascii="Calibri" w:hAnsi="Calibri" w:cs="Calibri"/>
          <w:noProof/>
          <w:szCs w:val="24"/>
        </w:rPr>
        <w:t>[3]</w:t>
      </w:r>
      <w:r w:rsidRPr="004B7E41">
        <w:rPr>
          <w:rFonts w:ascii="Calibri" w:hAnsi="Calibri" w:cs="Calibri"/>
          <w:noProof/>
          <w:szCs w:val="24"/>
        </w:rPr>
        <w:tab/>
        <w:t xml:space="preserve">A. Hamra, H. Atmowardoyo, and S. Dollah, “Designing an English course book for High School Students based on 2013 curriculum with local content materials,” </w:t>
      </w:r>
      <w:r w:rsidRPr="004B7E41">
        <w:rPr>
          <w:rFonts w:ascii="Calibri" w:hAnsi="Calibri" w:cs="Calibri"/>
          <w:i/>
          <w:iCs/>
          <w:noProof/>
          <w:szCs w:val="24"/>
        </w:rPr>
        <w:t>J. Lang. Teach. Res.</w:t>
      </w:r>
      <w:r w:rsidRPr="004B7E41">
        <w:rPr>
          <w:rFonts w:ascii="Calibri" w:hAnsi="Calibri" w:cs="Calibri"/>
          <w:noProof/>
          <w:szCs w:val="24"/>
        </w:rPr>
        <w:t>, vol. 6, no. 6, p. 1240, 2015.</w:t>
      </w:r>
    </w:p>
    <w:p w:rsidR="004B7E41" w:rsidRPr="004B7E41" w:rsidRDefault="004B7E41" w:rsidP="004B7E41">
      <w:pPr>
        <w:widowControl w:val="0"/>
        <w:autoSpaceDE w:val="0"/>
        <w:autoSpaceDN w:val="0"/>
        <w:adjustRightInd w:val="0"/>
        <w:spacing w:line="240" w:lineRule="auto"/>
        <w:ind w:left="640" w:hanging="640"/>
        <w:rPr>
          <w:rFonts w:ascii="Calibri" w:hAnsi="Calibri" w:cs="Calibri"/>
          <w:noProof/>
          <w:szCs w:val="24"/>
        </w:rPr>
      </w:pPr>
      <w:r w:rsidRPr="004B7E41">
        <w:rPr>
          <w:rFonts w:ascii="Calibri" w:hAnsi="Calibri" w:cs="Calibri"/>
          <w:noProof/>
          <w:szCs w:val="24"/>
        </w:rPr>
        <w:t>[4]</w:t>
      </w:r>
      <w:r w:rsidRPr="004B7E41">
        <w:rPr>
          <w:rFonts w:ascii="Calibri" w:hAnsi="Calibri" w:cs="Calibri"/>
          <w:noProof/>
          <w:szCs w:val="24"/>
        </w:rPr>
        <w:tab/>
        <w:t xml:space="preserve">A. A. Said and D. Cahyadi, “Design of Learning Media with Visual Communication Design Methodology,” in </w:t>
      </w:r>
      <w:r w:rsidRPr="004B7E41">
        <w:rPr>
          <w:rFonts w:ascii="Calibri" w:hAnsi="Calibri" w:cs="Calibri"/>
          <w:i/>
          <w:iCs/>
          <w:noProof/>
          <w:szCs w:val="24"/>
        </w:rPr>
        <w:t>Proceeding International Conference on Education, Science, Art and Technology (ICESAT)</w:t>
      </w:r>
      <w:r w:rsidRPr="004B7E41">
        <w:rPr>
          <w:rFonts w:ascii="Calibri" w:hAnsi="Calibri" w:cs="Calibri"/>
          <w:noProof/>
          <w:szCs w:val="24"/>
        </w:rPr>
        <w:t>, 2017, vol. 1, no. 1, pp. 272–277.</w:t>
      </w:r>
    </w:p>
    <w:p w:rsidR="004B7E41" w:rsidRPr="004B7E41" w:rsidRDefault="004B7E41" w:rsidP="004B7E41">
      <w:pPr>
        <w:widowControl w:val="0"/>
        <w:autoSpaceDE w:val="0"/>
        <w:autoSpaceDN w:val="0"/>
        <w:adjustRightInd w:val="0"/>
        <w:spacing w:line="240" w:lineRule="auto"/>
        <w:ind w:left="640" w:hanging="640"/>
        <w:rPr>
          <w:rFonts w:ascii="Calibri" w:hAnsi="Calibri" w:cs="Calibri"/>
          <w:noProof/>
        </w:rPr>
      </w:pPr>
      <w:r w:rsidRPr="004B7E41">
        <w:rPr>
          <w:rFonts w:ascii="Calibri" w:hAnsi="Calibri" w:cs="Calibri"/>
          <w:noProof/>
          <w:szCs w:val="24"/>
        </w:rPr>
        <w:t>[5]</w:t>
      </w:r>
      <w:r w:rsidRPr="004B7E41">
        <w:rPr>
          <w:rFonts w:ascii="Calibri" w:hAnsi="Calibri" w:cs="Calibri"/>
          <w:noProof/>
          <w:szCs w:val="24"/>
        </w:rPr>
        <w:tab/>
        <w:t xml:space="preserve">R. R. Sofyan and M. Mahmud, “Teacher talk in classroom interaction: A study at an English department in Indonesia,” </w:t>
      </w:r>
      <w:r w:rsidRPr="004B7E41">
        <w:rPr>
          <w:rFonts w:ascii="Calibri" w:hAnsi="Calibri" w:cs="Calibri"/>
          <w:i/>
          <w:iCs/>
          <w:noProof/>
          <w:szCs w:val="24"/>
        </w:rPr>
        <w:t>ELT Worldw.</w:t>
      </w:r>
      <w:r w:rsidRPr="004B7E41">
        <w:rPr>
          <w:rFonts w:ascii="Calibri" w:hAnsi="Calibri" w:cs="Calibri"/>
          <w:noProof/>
          <w:szCs w:val="24"/>
        </w:rPr>
        <w:t>, vol. 1, no. 1, pp. 45–58, 2014.</w:t>
      </w:r>
    </w:p>
    <w:p w:rsidR="004B7E41" w:rsidRPr="004B7E41" w:rsidRDefault="004B7E41" w:rsidP="004B7E41">
      <w:pPr>
        <w:jc w:val="both"/>
        <w:rPr>
          <w:b/>
        </w:rPr>
      </w:pPr>
      <w:r>
        <w:rPr>
          <w:b/>
        </w:rPr>
        <w:lastRenderedPageBreak/>
        <w:fldChar w:fldCharType="end"/>
      </w:r>
    </w:p>
    <w:sectPr w:rsidR="004B7E41" w:rsidRPr="004B7E41" w:rsidSect="00587330">
      <w:pgSz w:w="12242" w:h="20163" w:code="5"/>
      <w:pgMar w:top="1440" w:right="1871" w:bottom="51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26"/>
    <w:rsid w:val="00105226"/>
    <w:rsid w:val="00353C5F"/>
    <w:rsid w:val="004B7E41"/>
    <w:rsid w:val="00587330"/>
    <w:rsid w:val="00D60191"/>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D3AB"/>
  <w15:chartTrackingRefBased/>
  <w15:docId w15:val="{94973367-15F0-4874-8B29-4CD08D31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1"/>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B7E41"/>
    <w:pPr>
      <w:spacing w:after="0" w:line="36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rsid w:val="004B7E41"/>
    <w:rPr>
      <w:rFonts w:ascii="Times New Roman" w:eastAsia="Times New Roman" w:hAnsi="Times New Roman" w:cs="Times New Roman"/>
      <w:sz w:val="28"/>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5030-4231-4FBC-B32B-DCE3992E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3</cp:revision>
  <dcterms:created xsi:type="dcterms:W3CDTF">2019-06-25T03:33:00Z</dcterms:created>
  <dcterms:modified xsi:type="dcterms:W3CDTF">2019-06-25T03:37:00Z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